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1075B0">
      <w:pPr>
        <w:pStyle w:val="243"/>
        <w:ind w:firstLine="0"/>
        <w:rPr>
          <w:rFonts w:eastAsia="黑体"/>
          <w:b/>
          <w:bCs/>
          <w:color w:val="auto"/>
          <w:sz w:val="84"/>
          <w:highlight w:val="none"/>
          <w:shd w:val="clear" w:color="FFFFFF" w:fill="D9D9D9"/>
        </w:rPr>
      </w:pPr>
    </w:p>
    <w:p w14:paraId="3B1BB5FA">
      <w:pPr>
        <w:pStyle w:val="243"/>
        <w:ind w:firstLine="0"/>
        <w:jc w:val="both"/>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  开放式框架协议采购</w:t>
      </w:r>
    </w:p>
    <w:p w14:paraId="502B3FD1">
      <w:pPr>
        <w:pStyle w:val="243"/>
        <w:ind w:firstLine="0"/>
        <w:jc w:val="both"/>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       征集文件</w:t>
      </w:r>
    </w:p>
    <w:p w14:paraId="46C6B5CB">
      <w:pPr>
        <w:pStyle w:val="243"/>
        <w:ind w:firstLine="0"/>
        <w:jc w:val="center"/>
        <w:rPr>
          <w:rFonts w:ascii="黑体" w:hAnsi="华文中宋" w:eastAsia="黑体"/>
          <w:bCs/>
          <w:color w:val="auto"/>
          <w:spacing w:val="20"/>
          <w:sz w:val="52"/>
          <w:szCs w:val="52"/>
          <w:highlight w:val="none"/>
          <w:shd w:val="clear" w:color="FFFFFF" w:fill="D9D9D9"/>
        </w:rPr>
      </w:pPr>
    </w:p>
    <w:p w14:paraId="18873326">
      <w:pPr>
        <w:pStyle w:val="243"/>
        <w:ind w:firstLine="0"/>
        <w:jc w:val="center"/>
        <w:rPr>
          <w:rFonts w:ascii="黑体" w:hAnsi="华文中宋" w:eastAsia="黑体"/>
          <w:bCs/>
          <w:color w:val="auto"/>
          <w:spacing w:val="20"/>
          <w:sz w:val="52"/>
          <w:szCs w:val="52"/>
          <w:highlight w:val="none"/>
          <w:shd w:val="clear" w:color="FFFFFF" w:fill="D9D9D9"/>
        </w:rPr>
      </w:pPr>
    </w:p>
    <w:p w14:paraId="6B8FF382">
      <w:pPr>
        <w:pStyle w:val="243"/>
        <w:ind w:firstLine="0"/>
        <w:jc w:val="center"/>
        <w:rPr>
          <w:rFonts w:ascii="黑体" w:hAnsi="华文中宋" w:eastAsia="黑体"/>
          <w:bCs/>
          <w:color w:val="auto"/>
          <w:spacing w:val="20"/>
          <w:sz w:val="52"/>
          <w:szCs w:val="52"/>
          <w:highlight w:val="none"/>
          <w:shd w:val="clear" w:color="FFFFFF" w:fill="D9D9D9"/>
        </w:rPr>
      </w:pPr>
    </w:p>
    <w:p w14:paraId="58BF06A9">
      <w:pPr>
        <w:ind w:left="3417" w:leftChars="913" w:hanging="1500" w:hangingChars="500"/>
        <w:jc w:val="left"/>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项目编号：JSZC-320211-JSSZ-K2025-0075 </w:t>
      </w:r>
    </w:p>
    <w:p w14:paraId="4DBD7BD2">
      <w:pPr>
        <w:ind w:left="3417" w:leftChars="913" w:hanging="1500" w:hangingChars="500"/>
        <w:jc w:val="left"/>
        <w:rPr>
          <w:rFonts w:ascii="黑体" w:hAnsi="华文中宋" w:eastAsia="黑体"/>
          <w:bCs/>
          <w:color w:val="auto"/>
          <w:sz w:val="30"/>
          <w:szCs w:val="30"/>
          <w:highlight w:val="none"/>
        </w:rPr>
      </w:pPr>
    </w:p>
    <w:p w14:paraId="436C4185">
      <w:pPr>
        <w:ind w:left="3417" w:leftChars="913" w:hanging="1500" w:hangingChars="50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项目名称：2026-2027年度</w:t>
      </w:r>
      <w:bookmarkStart w:id="0" w:name="OLE_LINK11"/>
      <w:r>
        <w:rPr>
          <w:rFonts w:hint="eastAsia" w:ascii="黑体" w:hAnsi="华文中宋" w:eastAsia="黑体"/>
          <w:bCs/>
          <w:color w:val="auto"/>
          <w:sz w:val="30"/>
          <w:szCs w:val="30"/>
          <w:highlight w:val="none"/>
        </w:rPr>
        <w:t>滨湖区残疾儿童基本康复</w:t>
      </w:r>
      <w:bookmarkEnd w:id="0"/>
      <w:r>
        <w:rPr>
          <w:rFonts w:hint="eastAsia" w:ascii="黑体" w:hAnsi="华文中宋" w:eastAsia="黑体"/>
          <w:bCs/>
          <w:color w:val="auto"/>
          <w:sz w:val="30"/>
          <w:szCs w:val="30"/>
          <w:highlight w:val="none"/>
        </w:rPr>
        <w:t>训练服务定点机构项目框架协议采购</w:t>
      </w:r>
    </w:p>
    <w:p w14:paraId="79440BEA">
      <w:pPr>
        <w:ind w:firstLine="1920"/>
        <w:jc w:val="left"/>
        <w:rPr>
          <w:rFonts w:ascii="黑体" w:hAnsi="华文中宋" w:eastAsia="黑体"/>
          <w:bCs/>
          <w:color w:val="auto"/>
          <w:sz w:val="30"/>
          <w:szCs w:val="30"/>
          <w:highlight w:val="none"/>
        </w:rPr>
      </w:pPr>
    </w:p>
    <w:p w14:paraId="64AF48BD">
      <w:pPr>
        <w:ind w:firstLine="1920"/>
        <w:jc w:val="left"/>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征 集 人：无锡市滨湖区残疾人联合会</w:t>
      </w:r>
    </w:p>
    <w:p w14:paraId="65377802">
      <w:pPr>
        <w:jc w:val="center"/>
        <w:rPr>
          <w:rFonts w:ascii="黑体" w:hAnsi="华文中宋" w:eastAsia="黑体"/>
          <w:bCs/>
          <w:color w:val="auto"/>
          <w:sz w:val="30"/>
          <w:szCs w:val="30"/>
          <w:highlight w:val="none"/>
        </w:rPr>
      </w:pPr>
    </w:p>
    <w:p w14:paraId="510BBD2A">
      <w:pPr>
        <w:pStyle w:val="243"/>
        <w:spacing w:before="0" w:after="0"/>
        <w:ind w:firstLine="0"/>
        <w:jc w:val="center"/>
        <w:rPr>
          <w:rFonts w:ascii="宋体" w:hAnsi="宋体"/>
          <w:color w:val="auto"/>
          <w:highlight w:val="none"/>
          <w:shd w:val="clear" w:color="FFFFFF" w:fill="D9D9D9"/>
        </w:rPr>
      </w:pPr>
    </w:p>
    <w:p w14:paraId="156F7F38">
      <w:pPr>
        <w:pStyle w:val="243"/>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二○二五年十</w:t>
      </w:r>
      <w:r>
        <w:rPr>
          <w:rFonts w:hint="eastAsia" w:ascii="黑体" w:hAnsi="华文中宋" w:eastAsia="黑体"/>
          <w:bCs/>
          <w:color w:val="auto"/>
          <w:sz w:val="32"/>
          <w:szCs w:val="32"/>
          <w:highlight w:val="none"/>
          <w:lang w:eastAsia="zh-CN"/>
        </w:rPr>
        <w:t>二</w:t>
      </w:r>
      <w:r>
        <w:rPr>
          <w:rFonts w:hint="eastAsia" w:ascii="黑体" w:hAnsi="华文中宋" w:eastAsia="黑体"/>
          <w:bCs/>
          <w:color w:val="auto"/>
          <w:sz w:val="32"/>
          <w:szCs w:val="32"/>
          <w:highlight w:val="none"/>
        </w:rPr>
        <w:t>月</w:t>
      </w:r>
    </w:p>
    <w:p w14:paraId="1B2B5A09">
      <w:pPr>
        <w:pStyle w:val="243"/>
        <w:ind w:firstLine="0"/>
        <w:jc w:val="center"/>
        <w:rPr>
          <w:rFonts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1" w:name="_Toc120614210"/>
      <w:bookmarkStart w:id="2" w:name="_Toc513029200"/>
      <w:bookmarkStart w:id="3" w:name="_Toc16938516"/>
      <w:bookmarkStart w:id="4" w:name="_Toc479757206"/>
      <w:bookmarkStart w:id="5" w:name="_Toc523127445"/>
      <w:bookmarkStart w:id="6" w:name="_Toc20823272"/>
      <w:r>
        <w:rPr>
          <w:rFonts w:hint="eastAsia" w:ascii="黑体" w:hAnsi="黑体" w:eastAsia="黑体"/>
          <w:color w:val="auto"/>
          <w:sz w:val="36"/>
          <w:szCs w:val="36"/>
          <w:highlight w:val="none"/>
        </w:rPr>
        <w:t>总  目  录</w:t>
      </w:r>
    </w:p>
    <w:p w14:paraId="0E7BFA72">
      <w:pPr>
        <w:spacing w:line="480" w:lineRule="auto"/>
        <w:jc w:val="center"/>
        <w:outlineLvl w:val="0"/>
        <w:rPr>
          <w:rFonts w:ascii="黑体" w:hAnsi="Arial" w:eastAsia="黑体"/>
          <w:color w:val="auto"/>
          <w:sz w:val="44"/>
          <w:highlight w:val="none"/>
        </w:rPr>
      </w:pPr>
    </w:p>
    <w:p w14:paraId="0EDA96FC">
      <w:pPr>
        <w:numPr>
          <w:ilvl w:val="0"/>
          <w:numId w:val="4"/>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参加征集活动的邀请--------------------------3</w:t>
      </w:r>
    </w:p>
    <w:p w14:paraId="6952A6C2">
      <w:pPr>
        <w:numPr>
          <w:ilvl w:val="0"/>
          <w:numId w:val="4"/>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供应商须知----------------------------------9</w:t>
      </w:r>
    </w:p>
    <w:p w14:paraId="6E1E24D0">
      <w:pPr>
        <w:numPr>
          <w:ilvl w:val="0"/>
          <w:numId w:val="4"/>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框架协议文本和采购合同文本------------------24</w:t>
      </w:r>
    </w:p>
    <w:p w14:paraId="6528BE0B">
      <w:pPr>
        <w:numPr>
          <w:ilvl w:val="0"/>
          <w:numId w:val="4"/>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采购需求------------------------------------33</w:t>
      </w:r>
    </w:p>
    <w:p w14:paraId="2D0EA818">
      <w:pPr>
        <w:numPr>
          <w:ilvl w:val="0"/>
          <w:numId w:val="4"/>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评审方法与评审标准--------------------------50</w:t>
      </w:r>
    </w:p>
    <w:p w14:paraId="32D28F07">
      <w:pPr>
        <w:numPr>
          <w:ilvl w:val="0"/>
          <w:numId w:val="4"/>
        </w:numPr>
        <w:spacing w:line="720" w:lineRule="auto"/>
        <w:outlineLvl w:val="0"/>
        <w:rPr>
          <w:rFonts w:ascii="宋体" w:hAnsi="宋体"/>
          <w:color w:val="auto"/>
          <w:sz w:val="30"/>
          <w:szCs w:val="30"/>
          <w:highlight w:val="none"/>
        </w:rPr>
      </w:pPr>
      <w:r>
        <w:rPr>
          <w:rFonts w:hint="eastAsia" w:ascii="宋体" w:hAnsi="宋体"/>
          <w:color w:val="auto"/>
          <w:sz w:val="30"/>
          <w:szCs w:val="30"/>
          <w:highlight w:val="none"/>
        </w:rPr>
        <w:t>响应文件内容与格式--------------------------51</w:t>
      </w:r>
    </w:p>
    <w:p w14:paraId="4D32CD42">
      <w:pPr>
        <w:tabs>
          <w:tab w:val="left" w:pos="1440"/>
        </w:tabs>
        <w:spacing w:line="500" w:lineRule="exact"/>
        <w:jc w:val="center"/>
        <w:outlineLvl w:val="0"/>
        <w:rPr>
          <w:rFonts w:ascii="黑体" w:hAnsi="黑体" w:eastAsia="黑体"/>
          <w:color w:val="auto"/>
          <w:sz w:val="36"/>
          <w:szCs w:val="36"/>
          <w:highlight w:val="none"/>
        </w:rPr>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第一章  参加征集活动的邀请</w:t>
      </w:r>
    </w:p>
    <w:bookmarkEnd w:id="1"/>
    <w:p w14:paraId="2AA45DA5">
      <w:pP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受无锡市滨湖区残疾人联合会的委托，江苏苏咨工程咨询有限责任公司就2026-2027年度滨湖区残疾儿童基本康复训练服务定点机构项目（项目编号：JSZC-320211-JSSZ-K2025-0075）进行开放式框架协议采购，欢迎符合条件的供应商参加本次采购活动。</w:t>
      </w:r>
    </w:p>
    <w:p w14:paraId="28881635">
      <w:pPr>
        <w:pStyle w:val="5"/>
        <w:keepNext w:val="0"/>
        <w:keepLines w:val="0"/>
        <w:spacing w:before="0" w:after="0" w:line="360" w:lineRule="auto"/>
        <w:ind w:firstLine="452"/>
        <w:rPr>
          <w:color w:val="auto"/>
          <w:sz w:val="30"/>
          <w:szCs w:val="30"/>
          <w:highlight w:val="none"/>
          <w:lang w:eastAsia="zh-CN"/>
        </w:rPr>
      </w:pPr>
      <w:bookmarkStart w:id="7" w:name="_Toc28359002"/>
      <w:bookmarkStart w:id="8" w:name="_Toc28359079"/>
      <w:bookmarkStart w:id="9" w:name="_Toc35393790"/>
      <w:bookmarkStart w:id="10" w:name="_Toc35393621"/>
      <w:bookmarkStart w:id="11" w:name="_Toc38985263"/>
      <w:bookmarkStart w:id="12" w:name="_Hlk24379207"/>
      <w:r>
        <w:rPr>
          <w:rFonts w:hint="eastAsia"/>
          <w:color w:val="auto"/>
          <w:sz w:val="30"/>
          <w:szCs w:val="30"/>
          <w:highlight w:val="none"/>
          <w:lang w:eastAsia="zh-CN"/>
        </w:rPr>
        <w:t>一、</w:t>
      </w:r>
      <w:bookmarkEnd w:id="7"/>
      <w:bookmarkEnd w:id="8"/>
      <w:bookmarkEnd w:id="9"/>
      <w:bookmarkEnd w:id="10"/>
      <w:bookmarkEnd w:id="11"/>
      <w:r>
        <w:rPr>
          <w:rFonts w:hint="eastAsia"/>
          <w:color w:val="auto"/>
          <w:sz w:val="30"/>
          <w:szCs w:val="30"/>
          <w:highlight w:val="none"/>
          <w:lang w:eastAsia="zh-CN"/>
        </w:rPr>
        <w:t>采购项目信息</w:t>
      </w:r>
    </w:p>
    <w:p w14:paraId="4058220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1.项目编号：JSZC-320211-JSSZ-K2025-0075 </w:t>
      </w:r>
    </w:p>
    <w:p w14:paraId="514A0B4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2.项目名称：2026-2027年度滨湖区残疾儿童基本康复训练服务定点机构项目框架协议采购。</w:t>
      </w:r>
    </w:p>
    <w:p w14:paraId="1A90BB0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本项目分为五个采购包：</w:t>
      </w:r>
    </w:p>
    <w:bookmarkEnd w:id="12"/>
    <w:tbl>
      <w:tblPr>
        <w:tblStyle w:val="48"/>
        <w:tblW w:w="8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1843"/>
        <w:gridCol w:w="779"/>
        <w:gridCol w:w="497"/>
        <w:gridCol w:w="567"/>
        <w:gridCol w:w="2410"/>
        <w:gridCol w:w="1709"/>
      </w:tblGrid>
      <w:tr w14:paraId="5B65D2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0" w:hRule="atLeast"/>
          <w:jc w:val="center"/>
        </w:trPr>
        <w:tc>
          <w:tcPr>
            <w:tcW w:w="562" w:type="dxa"/>
            <w:vAlign w:val="center"/>
          </w:tcPr>
          <w:p w14:paraId="45AC5371">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采购包</w:t>
            </w:r>
          </w:p>
        </w:tc>
        <w:tc>
          <w:tcPr>
            <w:tcW w:w="1843" w:type="dxa"/>
            <w:vAlign w:val="center"/>
          </w:tcPr>
          <w:p w14:paraId="7F09FDF9">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标的名称</w:t>
            </w:r>
          </w:p>
        </w:tc>
        <w:tc>
          <w:tcPr>
            <w:tcW w:w="779" w:type="dxa"/>
            <w:vAlign w:val="center"/>
          </w:tcPr>
          <w:p w14:paraId="3D613730">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品目分类编码</w:t>
            </w:r>
          </w:p>
        </w:tc>
        <w:tc>
          <w:tcPr>
            <w:tcW w:w="497" w:type="dxa"/>
            <w:vAlign w:val="center"/>
          </w:tcPr>
          <w:p w14:paraId="558EFE55">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计量单位</w:t>
            </w:r>
          </w:p>
        </w:tc>
        <w:tc>
          <w:tcPr>
            <w:tcW w:w="567" w:type="dxa"/>
            <w:vAlign w:val="center"/>
          </w:tcPr>
          <w:p w14:paraId="69BFF12C">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数量</w:t>
            </w:r>
          </w:p>
        </w:tc>
        <w:tc>
          <w:tcPr>
            <w:tcW w:w="2410" w:type="dxa"/>
            <w:vAlign w:val="center"/>
          </w:tcPr>
          <w:p w14:paraId="03940D37">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限价</w:t>
            </w:r>
          </w:p>
        </w:tc>
        <w:tc>
          <w:tcPr>
            <w:tcW w:w="1709" w:type="dxa"/>
            <w:vAlign w:val="center"/>
          </w:tcPr>
          <w:p w14:paraId="61CB9D7E">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政策功能</w:t>
            </w:r>
          </w:p>
        </w:tc>
      </w:tr>
      <w:tr w14:paraId="206A1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562" w:type="dxa"/>
            <w:vAlign w:val="center"/>
          </w:tcPr>
          <w:p w14:paraId="6C4B34A6">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p>
        </w:tc>
        <w:tc>
          <w:tcPr>
            <w:tcW w:w="1843" w:type="dxa"/>
            <w:vAlign w:val="center"/>
          </w:tcPr>
          <w:p w14:paraId="1C2FC4CF">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视力残疾儿童基本康复训练服务</w:t>
            </w:r>
          </w:p>
        </w:tc>
        <w:tc>
          <w:tcPr>
            <w:tcW w:w="779" w:type="dxa"/>
            <w:vAlign w:val="center"/>
          </w:tcPr>
          <w:p w14:paraId="6F9E0074">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C04080000</w:t>
            </w:r>
          </w:p>
        </w:tc>
        <w:tc>
          <w:tcPr>
            <w:tcW w:w="497" w:type="dxa"/>
            <w:vAlign w:val="center"/>
          </w:tcPr>
          <w:p w14:paraId="1B845861">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w:t>
            </w:r>
          </w:p>
        </w:tc>
        <w:tc>
          <w:tcPr>
            <w:tcW w:w="567" w:type="dxa"/>
            <w:vAlign w:val="center"/>
          </w:tcPr>
          <w:p w14:paraId="3F3F4CD7">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2410" w:type="dxa"/>
            <w:vMerge w:val="restart"/>
            <w:vAlign w:val="center"/>
          </w:tcPr>
          <w:p w14:paraId="7A73B882">
            <w:pPr>
              <w:overflowPunct w:val="0"/>
              <w:topLinePunct/>
              <w:rPr>
                <w:rFonts w:asciiTheme="minorEastAsia" w:hAnsiTheme="minorEastAsia" w:eastAsiaTheme="minorEastAsia"/>
                <w:color w:val="auto"/>
                <w:sz w:val="24"/>
                <w:szCs w:val="24"/>
                <w:highlight w:val="none"/>
              </w:rPr>
            </w:pPr>
            <w:bookmarkStart w:id="13" w:name="OLE_LINK45"/>
            <w:bookmarkStart w:id="14" w:name="OLE_LINK46"/>
            <w:r>
              <w:rPr>
                <w:rFonts w:hint="eastAsia" w:cs="宋体" w:asciiTheme="minorEastAsia" w:hAnsiTheme="minorEastAsia" w:eastAsiaTheme="minorEastAsia"/>
                <w:color w:val="auto"/>
                <w:sz w:val="24"/>
                <w:szCs w:val="24"/>
                <w:highlight w:val="none"/>
              </w:rPr>
              <w:t>按《市政府办印发关于完善残疾儿童康复救助制度的实施办法的通知》（锡政办发〔2019〕43号）和《市残联市财政局关于优化残疾儿童康复救助工作的通知》（锡残〔</w:t>
            </w:r>
            <w:r>
              <w:rPr>
                <w:rFonts w:cs="宋体" w:asciiTheme="minorEastAsia" w:hAnsiTheme="minorEastAsia" w:eastAsiaTheme="minorEastAsia"/>
                <w:color w:val="auto"/>
                <w:sz w:val="24"/>
                <w:szCs w:val="24"/>
                <w:highlight w:val="none"/>
              </w:rPr>
              <w:t>2023</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19</w:t>
            </w:r>
            <w:r>
              <w:rPr>
                <w:rFonts w:hint="eastAsia" w:cs="宋体" w:asciiTheme="minorEastAsia" w:hAnsiTheme="minorEastAsia" w:eastAsiaTheme="minorEastAsia"/>
                <w:color w:val="auto"/>
                <w:sz w:val="24"/>
                <w:szCs w:val="24"/>
                <w:highlight w:val="none"/>
              </w:rPr>
              <w:t>号）中相关政策标准执行，后续如有政府相关部门出台更新救助范围、救助标准，则按最新救助范围和标准执行。</w:t>
            </w:r>
            <w:bookmarkEnd w:id="13"/>
            <w:bookmarkEnd w:id="14"/>
          </w:p>
        </w:tc>
        <w:tc>
          <w:tcPr>
            <w:tcW w:w="1709" w:type="dxa"/>
            <w:vMerge w:val="restart"/>
            <w:vAlign w:val="center"/>
          </w:tcPr>
          <w:p w14:paraId="447A3C5A">
            <w:pPr>
              <w:overflowPunct w:val="0"/>
              <w:topLinePun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限价为征集人可支付的最高结算额度，具体结算金额按相关文件执行。</w:t>
            </w:r>
          </w:p>
        </w:tc>
      </w:tr>
      <w:tr w14:paraId="598A24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562" w:type="dxa"/>
            <w:vAlign w:val="center"/>
          </w:tcPr>
          <w:p w14:paraId="21D5BDCA">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1843" w:type="dxa"/>
            <w:vAlign w:val="center"/>
          </w:tcPr>
          <w:p w14:paraId="1FDEB831">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听力（言语）残疾儿童基本康复训练服务</w:t>
            </w:r>
          </w:p>
        </w:tc>
        <w:tc>
          <w:tcPr>
            <w:tcW w:w="779" w:type="dxa"/>
            <w:vAlign w:val="center"/>
          </w:tcPr>
          <w:p w14:paraId="3E4CE00E">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C04080000</w:t>
            </w:r>
          </w:p>
        </w:tc>
        <w:tc>
          <w:tcPr>
            <w:tcW w:w="497" w:type="dxa"/>
            <w:vAlign w:val="center"/>
          </w:tcPr>
          <w:p w14:paraId="263C5207">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w:t>
            </w:r>
          </w:p>
        </w:tc>
        <w:tc>
          <w:tcPr>
            <w:tcW w:w="567" w:type="dxa"/>
            <w:vAlign w:val="center"/>
          </w:tcPr>
          <w:p w14:paraId="7323A152">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2410" w:type="dxa"/>
            <w:vMerge w:val="continue"/>
            <w:vAlign w:val="center"/>
          </w:tcPr>
          <w:p w14:paraId="38F0AB45">
            <w:pPr>
              <w:overflowPunct w:val="0"/>
              <w:topLinePunct/>
              <w:rPr>
                <w:rFonts w:asciiTheme="minorEastAsia" w:hAnsiTheme="minorEastAsia" w:eastAsiaTheme="minorEastAsia"/>
                <w:color w:val="auto"/>
                <w:sz w:val="24"/>
                <w:szCs w:val="24"/>
                <w:highlight w:val="none"/>
              </w:rPr>
            </w:pPr>
          </w:p>
        </w:tc>
        <w:tc>
          <w:tcPr>
            <w:tcW w:w="1709" w:type="dxa"/>
            <w:vMerge w:val="continue"/>
            <w:vAlign w:val="center"/>
          </w:tcPr>
          <w:p w14:paraId="03E73FE0">
            <w:pPr>
              <w:overflowPunct w:val="0"/>
              <w:topLinePunct/>
              <w:rPr>
                <w:rFonts w:asciiTheme="minorEastAsia" w:hAnsiTheme="minorEastAsia" w:eastAsiaTheme="minorEastAsia"/>
                <w:color w:val="auto"/>
                <w:sz w:val="24"/>
                <w:szCs w:val="24"/>
                <w:highlight w:val="none"/>
              </w:rPr>
            </w:pPr>
          </w:p>
        </w:tc>
      </w:tr>
      <w:tr w14:paraId="78BD2B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562" w:type="dxa"/>
            <w:vAlign w:val="center"/>
          </w:tcPr>
          <w:p w14:paraId="23AC0D6E">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p>
        </w:tc>
        <w:tc>
          <w:tcPr>
            <w:tcW w:w="1843" w:type="dxa"/>
            <w:vAlign w:val="center"/>
          </w:tcPr>
          <w:p w14:paraId="1A8BFFBE">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肢体（脑瘫）残疾儿童基本康复训练服务</w:t>
            </w:r>
          </w:p>
        </w:tc>
        <w:tc>
          <w:tcPr>
            <w:tcW w:w="779" w:type="dxa"/>
            <w:vAlign w:val="center"/>
          </w:tcPr>
          <w:p w14:paraId="07DEDA25">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C04080000</w:t>
            </w:r>
          </w:p>
        </w:tc>
        <w:tc>
          <w:tcPr>
            <w:tcW w:w="497" w:type="dxa"/>
            <w:vAlign w:val="center"/>
          </w:tcPr>
          <w:p w14:paraId="0B6360D0">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w:t>
            </w:r>
          </w:p>
        </w:tc>
        <w:tc>
          <w:tcPr>
            <w:tcW w:w="567" w:type="dxa"/>
            <w:vAlign w:val="center"/>
          </w:tcPr>
          <w:p w14:paraId="7E85B4D8">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2410" w:type="dxa"/>
            <w:vMerge w:val="continue"/>
            <w:vAlign w:val="center"/>
          </w:tcPr>
          <w:p w14:paraId="6A77C5E4">
            <w:pPr>
              <w:overflowPunct w:val="0"/>
              <w:topLinePunct/>
              <w:rPr>
                <w:rFonts w:asciiTheme="minorEastAsia" w:hAnsiTheme="minorEastAsia" w:eastAsiaTheme="minorEastAsia"/>
                <w:color w:val="auto"/>
                <w:sz w:val="24"/>
                <w:szCs w:val="24"/>
                <w:highlight w:val="none"/>
              </w:rPr>
            </w:pPr>
          </w:p>
        </w:tc>
        <w:tc>
          <w:tcPr>
            <w:tcW w:w="1709" w:type="dxa"/>
            <w:vMerge w:val="continue"/>
            <w:vAlign w:val="center"/>
          </w:tcPr>
          <w:p w14:paraId="0FEFAC99">
            <w:pPr>
              <w:overflowPunct w:val="0"/>
              <w:topLinePunct/>
              <w:rPr>
                <w:rFonts w:asciiTheme="minorEastAsia" w:hAnsiTheme="minorEastAsia" w:eastAsiaTheme="minorEastAsia"/>
                <w:color w:val="auto"/>
                <w:sz w:val="24"/>
                <w:szCs w:val="24"/>
                <w:highlight w:val="none"/>
              </w:rPr>
            </w:pPr>
          </w:p>
        </w:tc>
      </w:tr>
      <w:tr w14:paraId="50601A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562" w:type="dxa"/>
            <w:vAlign w:val="center"/>
          </w:tcPr>
          <w:p w14:paraId="0C2FE1AF">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w:t>
            </w:r>
          </w:p>
        </w:tc>
        <w:tc>
          <w:tcPr>
            <w:tcW w:w="1843" w:type="dxa"/>
            <w:vAlign w:val="center"/>
          </w:tcPr>
          <w:p w14:paraId="23F19E10">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智力残疾儿童基本康复训练服务</w:t>
            </w:r>
          </w:p>
        </w:tc>
        <w:tc>
          <w:tcPr>
            <w:tcW w:w="779" w:type="dxa"/>
            <w:vAlign w:val="center"/>
          </w:tcPr>
          <w:p w14:paraId="07499B17">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C04080000</w:t>
            </w:r>
          </w:p>
        </w:tc>
        <w:tc>
          <w:tcPr>
            <w:tcW w:w="497" w:type="dxa"/>
            <w:vAlign w:val="center"/>
          </w:tcPr>
          <w:p w14:paraId="2DCF7B94">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w:t>
            </w:r>
          </w:p>
        </w:tc>
        <w:tc>
          <w:tcPr>
            <w:tcW w:w="567" w:type="dxa"/>
            <w:vAlign w:val="center"/>
          </w:tcPr>
          <w:p w14:paraId="0BC4956A">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2410" w:type="dxa"/>
            <w:vMerge w:val="continue"/>
            <w:vAlign w:val="center"/>
          </w:tcPr>
          <w:p w14:paraId="0FA4C346">
            <w:pPr>
              <w:overflowPunct w:val="0"/>
              <w:topLinePunct/>
              <w:rPr>
                <w:rFonts w:asciiTheme="minorEastAsia" w:hAnsiTheme="minorEastAsia" w:eastAsiaTheme="minorEastAsia"/>
                <w:color w:val="auto"/>
                <w:sz w:val="24"/>
                <w:szCs w:val="24"/>
                <w:highlight w:val="none"/>
              </w:rPr>
            </w:pPr>
          </w:p>
        </w:tc>
        <w:tc>
          <w:tcPr>
            <w:tcW w:w="1709" w:type="dxa"/>
            <w:vMerge w:val="continue"/>
            <w:vAlign w:val="center"/>
          </w:tcPr>
          <w:p w14:paraId="3EE41E02">
            <w:pPr>
              <w:overflowPunct w:val="0"/>
              <w:topLinePunct/>
              <w:rPr>
                <w:rFonts w:asciiTheme="minorEastAsia" w:hAnsiTheme="minorEastAsia" w:eastAsiaTheme="minorEastAsia"/>
                <w:color w:val="auto"/>
                <w:sz w:val="24"/>
                <w:szCs w:val="24"/>
                <w:highlight w:val="none"/>
              </w:rPr>
            </w:pPr>
          </w:p>
        </w:tc>
      </w:tr>
      <w:tr w14:paraId="07689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562" w:type="dxa"/>
            <w:vAlign w:val="center"/>
          </w:tcPr>
          <w:p w14:paraId="11F10FC7">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w:t>
            </w:r>
          </w:p>
        </w:tc>
        <w:tc>
          <w:tcPr>
            <w:tcW w:w="1843" w:type="dxa"/>
            <w:vAlign w:val="center"/>
          </w:tcPr>
          <w:p w14:paraId="67F70EF2">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孤独症儿童基本康复训练服务</w:t>
            </w:r>
          </w:p>
        </w:tc>
        <w:tc>
          <w:tcPr>
            <w:tcW w:w="779" w:type="dxa"/>
            <w:vAlign w:val="center"/>
          </w:tcPr>
          <w:p w14:paraId="0C0548F6">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C04080000</w:t>
            </w:r>
          </w:p>
        </w:tc>
        <w:tc>
          <w:tcPr>
            <w:tcW w:w="497" w:type="dxa"/>
            <w:vAlign w:val="center"/>
          </w:tcPr>
          <w:p w14:paraId="41CCC030">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w:t>
            </w:r>
          </w:p>
        </w:tc>
        <w:tc>
          <w:tcPr>
            <w:tcW w:w="567" w:type="dxa"/>
            <w:vAlign w:val="center"/>
          </w:tcPr>
          <w:p w14:paraId="66F5BB77">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2410" w:type="dxa"/>
            <w:vMerge w:val="continue"/>
            <w:vAlign w:val="center"/>
          </w:tcPr>
          <w:p w14:paraId="7C25AFC0">
            <w:pPr>
              <w:overflowPunct w:val="0"/>
              <w:topLinePunct/>
              <w:rPr>
                <w:rFonts w:asciiTheme="minorEastAsia" w:hAnsiTheme="minorEastAsia" w:eastAsiaTheme="minorEastAsia"/>
                <w:color w:val="auto"/>
                <w:sz w:val="24"/>
                <w:szCs w:val="24"/>
                <w:highlight w:val="none"/>
              </w:rPr>
            </w:pPr>
          </w:p>
        </w:tc>
        <w:tc>
          <w:tcPr>
            <w:tcW w:w="1709" w:type="dxa"/>
            <w:vMerge w:val="continue"/>
            <w:vAlign w:val="center"/>
          </w:tcPr>
          <w:p w14:paraId="4CD44BB1">
            <w:pPr>
              <w:overflowPunct w:val="0"/>
              <w:topLinePunct/>
              <w:rPr>
                <w:rFonts w:asciiTheme="minorEastAsia" w:hAnsiTheme="minorEastAsia" w:eastAsiaTheme="minorEastAsia"/>
                <w:color w:val="auto"/>
                <w:sz w:val="24"/>
                <w:szCs w:val="24"/>
                <w:highlight w:val="none"/>
              </w:rPr>
            </w:pPr>
          </w:p>
        </w:tc>
      </w:tr>
    </w:tbl>
    <w:p w14:paraId="7C0290D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3.采购方式：开放式框架协议采购</w:t>
      </w:r>
    </w:p>
    <w:p w14:paraId="65F0CA6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适用框架协议的采购人或者服务对象范围：本部门本系统自采自用，服务对象为经诊断或评估有康复需求和康复意愿的我市户籍0-14周岁视力和听力（言语）残疾儿童、0-17周岁肢体（脑瘫）、智力残疾和孤独症儿童,符合《省残联办公室关于落实扩大残疾儿童基本康复服务对象有关事项的通知》(苏残办发〔2025〕4号)持本市居住证救助条件的残疾儿童（本次采购完成后，如无锡市出台更新救助范围、救助标准，按最新救助范围和标准执行）</w:t>
      </w:r>
    </w:p>
    <w:p w14:paraId="5BF544AB">
      <w:pPr>
        <w:spacing w:line="360" w:lineRule="auto"/>
        <w:ind w:firstLine="480"/>
        <w:rPr>
          <w:rFonts w:ascii="宋体" w:hAnsi="宋体"/>
          <w:color w:val="auto"/>
          <w:sz w:val="24"/>
          <w:szCs w:val="24"/>
          <w:highlight w:val="none"/>
        </w:rPr>
      </w:pPr>
      <w:bookmarkStart w:id="15" w:name="OLE_LINK8"/>
      <w:bookmarkStart w:id="16" w:name="OLE_LINK7"/>
      <w:r>
        <w:rPr>
          <w:rFonts w:hint="eastAsia" w:ascii="宋体" w:hAnsi="宋体"/>
          <w:color w:val="auto"/>
          <w:sz w:val="24"/>
          <w:szCs w:val="24"/>
          <w:highlight w:val="none"/>
        </w:rPr>
        <w:t>5.预算金额：</w:t>
      </w:r>
      <w:r>
        <w:rPr>
          <w:rFonts w:hint="eastAsia" w:ascii="宋体" w:hAnsi="宋体" w:cs="宋体"/>
          <w:color w:val="auto"/>
          <w:sz w:val="24"/>
          <w:highlight w:val="none"/>
        </w:rPr>
        <w:t>600</w:t>
      </w:r>
      <w:r>
        <w:rPr>
          <w:rFonts w:ascii="宋体" w:hAnsi="宋体" w:cs="宋体"/>
          <w:color w:val="auto"/>
          <w:sz w:val="24"/>
          <w:highlight w:val="none"/>
        </w:rPr>
        <w:t>万元。</w:t>
      </w:r>
      <w:bookmarkStart w:id="17" w:name="OLE_LINK26"/>
      <w:bookmarkStart w:id="18" w:name="OLE_LINK27"/>
      <w:r>
        <w:rPr>
          <w:rFonts w:ascii="宋体" w:hAnsi="宋体" w:cs="宋体"/>
          <w:color w:val="auto"/>
          <w:sz w:val="24"/>
          <w:highlight w:val="none"/>
        </w:rPr>
        <w:t>其中：</w:t>
      </w:r>
      <w:bookmarkStart w:id="19" w:name="OLE_LINK116"/>
      <w:bookmarkStart w:id="20" w:name="OLE_LINK115"/>
      <w:r>
        <w:rPr>
          <w:rFonts w:hint="eastAsia" w:ascii="宋体" w:hAnsi="宋体" w:cs="宋体"/>
          <w:color w:val="auto"/>
          <w:sz w:val="24"/>
          <w:highlight w:val="none"/>
        </w:rPr>
        <w:t>采购包一</w:t>
      </w:r>
      <w:r>
        <w:rPr>
          <w:rFonts w:ascii="宋体" w:hAnsi="宋体" w:cs="宋体"/>
          <w:color w:val="auto"/>
          <w:sz w:val="24"/>
          <w:highlight w:val="none"/>
        </w:rPr>
        <w:t>：</w:t>
      </w:r>
      <w:bookmarkEnd w:id="19"/>
      <w:bookmarkEnd w:id="20"/>
      <w:r>
        <w:rPr>
          <w:rFonts w:hint="eastAsia" w:ascii="宋体" w:hAnsi="宋体" w:cs="宋体"/>
          <w:color w:val="auto"/>
          <w:sz w:val="24"/>
          <w:highlight w:val="none"/>
        </w:rPr>
        <w:t>28</w:t>
      </w:r>
      <w:r>
        <w:rPr>
          <w:rFonts w:ascii="宋体" w:hAnsi="宋体" w:cs="宋体"/>
          <w:color w:val="auto"/>
          <w:sz w:val="24"/>
          <w:highlight w:val="none"/>
        </w:rPr>
        <w:t>万元；</w:t>
      </w:r>
      <w:r>
        <w:rPr>
          <w:rFonts w:hint="eastAsia" w:ascii="宋体" w:hAnsi="宋体" w:cs="宋体"/>
          <w:color w:val="auto"/>
          <w:sz w:val="24"/>
          <w:highlight w:val="none"/>
        </w:rPr>
        <w:t>采购包二</w:t>
      </w:r>
      <w:r>
        <w:rPr>
          <w:rFonts w:ascii="宋体" w:hAnsi="宋体" w:cs="宋体"/>
          <w:color w:val="auto"/>
          <w:sz w:val="24"/>
          <w:highlight w:val="none"/>
        </w:rPr>
        <w:t>：</w:t>
      </w:r>
      <w:bookmarkStart w:id="21" w:name="OLE_LINK24"/>
      <w:bookmarkStart w:id="22" w:name="OLE_LINK25"/>
      <w:r>
        <w:rPr>
          <w:rFonts w:hint="eastAsia" w:ascii="宋体" w:hAnsi="宋体" w:cs="宋体"/>
          <w:color w:val="auto"/>
          <w:sz w:val="24"/>
          <w:highlight w:val="none"/>
        </w:rPr>
        <w:t>18</w:t>
      </w:r>
      <w:r>
        <w:rPr>
          <w:rFonts w:ascii="宋体" w:hAnsi="宋体" w:cs="宋体"/>
          <w:color w:val="auto"/>
          <w:sz w:val="24"/>
          <w:highlight w:val="none"/>
        </w:rPr>
        <w:t>万</w:t>
      </w:r>
      <w:bookmarkEnd w:id="21"/>
      <w:bookmarkEnd w:id="22"/>
      <w:r>
        <w:rPr>
          <w:rFonts w:ascii="宋体" w:hAnsi="宋体" w:cs="宋体"/>
          <w:color w:val="auto"/>
          <w:sz w:val="24"/>
          <w:highlight w:val="none"/>
        </w:rPr>
        <w:t>元；</w:t>
      </w:r>
      <w:r>
        <w:rPr>
          <w:rFonts w:hint="eastAsia" w:ascii="宋体" w:hAnsi="宋体" w:cs="宋体"/>
          <w:color w:val="auto"/>
          <w:sz w:val="24"/>
          <w:highlight w:val="none"/>
        </w:rPr>
        <w:t>采购包三：130万元；采购包四：188万元；采购包五：236万元。</w:t>
      </w:r>
      <w:bookmarkEnd w:id="17"/>
      <w:bookmarkEnd w:id="18"/>
    </w:p>
    <w:p w14:paraId="7EC0D69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6.最高限制单价：</w:t>
      </w:r>
      <w:r>
        <w:rPr>
          <w:rFonts w:hint="eastAsia" w:cs="宋体" w:asciiTheme="minorEastAsia" w:hAnsiTheme="minorEastAsia" w:eastAsiaTheme="minorEastAsia"/>
          <w:color w:val="auto"/>
          <w:sz w:val="24"/>
          <w:szCs w:val="24"/>
          <w:highlight w:val="none"/>
        </w:rPr>
        <w:t>按《市政府办印发关于完善残疾儿童康复救助制度的实施办法的通知》（锡政办发〔2019〕43号）和《市残联市财政局关于优化残疾儿童康复救助工作的通知》（锡残〔2023〕19号）中相关政策标准执行，后续如有政府相关部门出台更新救助范围、救助标准，则按最新救助范围和标准执行。</w:t>
      </w:r>
    </w:p>
    <w:p w14:paraId="43F73B92">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7.采购需求：详见征集文件第四章《采购需求》。</w:t>
      </w:r>
    </w:p>
    <w:p w14:paraId="4A20D1FC">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8.本项目所属行业：其他未列明行业。</w:t>
      </w:r>
    </w:p>
    <w:p w14:paraId="4705996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9.本项目不接受联合体参与本次框架协议采购活动。</w:t>
      </w:r>
    </w:p>
    <w:bookmarkEnd w:id="15"/>
    <w:bookmarkEnd w:id="16"/>
    <w:p w14:paraId="68A8E3C6">
      <w:pPr>
        <w:pStyle w:val="5"/>
        <w:keepNext w:val="0"/>
        <w:keepLines w:val="0"/>
        <w:spacing w:before="0" w:after="0" w:line="360" w:lineRule="auto"/>
        <w:ind w:firstLine="452"/>
        <w:rPr>
          <w:color w:val="auto"/>
          <w:sz w:val="30"/>
          <w:szCs w:val="30"/>
          <w:highlight w:val="none"/>
          <w:lang w:eastAsia="zh-CN"/>
        </w:rPr>
      </w:pPr>
      <w:bookmarkStart w:id="23" w:name="_Toc28359003"/>
      <w:bookmarkStart w:id="24" w:name="_Toc38985264"/>
      <w:bookmarkStart w:id="25" w:name="_Toc35393622"/>
      <w:bookmarkStart w:id="26" w:name="_Toc28359080"/>
      <w:bookmarkStart w:id="27" w:name="_Toc35393791"/>
      <w:r>
        <w:rPr>
          <w:rFonts w:hint="eastAsia"/>
          <w:color w:val="auto"/>
          <w:sz w:val="30"/>
          <w:szCs w:val="30"/>
          <w:highlight w:val="none"/>
          <w:lang w:eastAsia="zh-CN"/>
        </w:rPr>
        <w:t>二、供应商的资格条件</w:t>
      </w:r>
      <w:bookmarkEnd w:id="23"/>
      <w:bookmarkEnd w:id="24"/>
      <w:bookmarkEnd w:id="25"/>
      <w:bookmarkEnd w:id="26"/>
      <w:bookmarkEnd w:id="27"/>
    </w:p>
    <w:p w14:paraId="21693B28">
      <w:pPr>
        <w:spacing w:line="360" w:lineRule="auto"/>
        <w:ind w:firstLine="480"/>
        <w:rPr>
          <w:rFonts w:ascii="宋体" w:hAnsi="宋体"/>
          <w:color w:val="auto"/>
          <w:sz w:val="24"/>
          <w:szCs w:val="24"/>
          <w:highlight w:val="none"/>
        </w:rPr>
      </w:pPr>
      <w:bookmarkStart w:id="28" w:name="_Toc28359081"/>
      <w:bookmarkStart w:id="29" w:name="_Toc38985265"/>
      <w:bookmarkStart w:id="30" w:name="_Toc35393623"/>
      <w:bookmarkStart w:id="31" w:name="_Toc28359004"/>
      <w:bookmarkStart w:id="32" w:name="_Toc35393792"/>
      <w:r>
        <w:rPr>
          <w:rFonts w:hint="eastAsia" w:ascii="宋体" w:hAnsi="宋体"/>
          <w:color w:val="auto"/>
          <w:sz w:val="24"/>
          <w:szCs w:val="24"/>
          <w:highlight w:val="none"/>
        </w:rPr>
        <w:t>1.满足《中华人民共和国政府采购法》第二十二条规定；</w:t>
      </w:r>
    </w:p>
    <w:p w14:paraId="464257E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2.落实政府采购政策需满足的资格要求：</w:t>
      </w:r>
    </w:p>
    <w:p w14:paraId="0D7BEDF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2.1中小企业政策：无；</w:t>
      </w:r>
    </w:p>
    <w:p w14:paraId="6293CE9E">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2.2通用资格要求：</w:t>
      </w:r>
    </w:p>
    <w:p w14:paraId="39476E7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2.2.1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响应文件中无需提供证明材料）；</w:t>
      </w:r>
    </w:p>
    <w:p w14:paraId="20FE916D">
      <w:pPr>
        <w:spacing w:line="360" w:lineRule="auto"/>
        <w:ind w:firstLine="480"/>
        <w:rPr>
          <w:rFonts w:ascii="宋体" w:hAnsi="宋体"/>
          <w:color w:val="auto"/>
          <w:sz w:val="24"/>
          <w:szCs w:val="24"/>
          <w:highlight w:val="none"/>
        </w:rPr>
      </w:pPr>
      <w:bookmarkStart w:id="33" w:name="OLE_LINK43"/>
      <w:bookmarkStart w:id="34" w:name="OLE_LINK42"/>
      <w:r>
        <w:rPr>
          <w:rFonts w:hint="eastAsia" w:ascii="宋体" w:hAnsi="宋体"/>
          <w:color w:val="auto"/>
          <w:sz w:val="24"/>
          <w:szCs w:val="24"/>
          <w:highlight w:val="none"/>
        </w:rPr>
        <w:t>2.2.2授权委托人应为供应商的在职职工</w:t>
      </w:r>
      <w:bookmarkEnd w:id="33"/>
      <w:bookmarkEnd w:id="34"/>
      <w:r>
        <w:rPr>
          <w:rFonts w:hint="eastAsia" w:ascii="宋体" w:hAnsi="宋体"/>
          <w:color w:val="auto"/>
          <w:sz w:val="24"/>
          <w:szCs w:val="24"/>
          <w:highlight w:val="none"/>
        </w:rPr>
        <w:t>【供应商近一年内任意一个月份为其法定代表人授权代表缴纳社保的证明扫描件(由相关主管部门出具，新成立公司除外、法定代表人亲自参加征集活动的除外)】。</w:t>
      </w:r>
    </w:p>
    <w:p w14:paraId="7C7EFAE1">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2.3.本项目的特定资格要求：</w:t>
      </w:r>
    </w:p>
    <w:p w14:paraId="77C31D34">
      <w:pPr>
        <w:spacing w:line="360" w:lineRule="auto"/>
        <w:ind w:firstLine="480"/>
        <w:rPr>
          <w:rFonts w:ascii="宋体" w:hAnsi="宋体"/>
          <w:color w:val="auto"/>
          <w:sz w:val="24"/>
          <w:szCs w:val="24"/>
          <w:highlight w:val="none"/>
        </w:rPr>
      </w:pPr>
      <w:bookmarkStart w:id="35" w:name="OLE_LINK19"/>
      <w:bookmarkStart w:id="36" w:name="OLE_LINK51"/>
      <w:bookmarkStart w:id="37" w:name="OLE_LINK50"/>
      <w:r>
        <w:rPr>
          <w:rFonts w:hint="eastAsia" w:ascii="宋体" w:hAnsi="宋体"/>
          <w:color w:val="auto"/>
          <w:sz w:val="24"/>
          <w:szCs w:val="24"/>
          <w:highlight w:val="none"/>
        </w:rPr>
        <w:t>2.3.1①从事教育康复应有所属地教育行政部门颁发的办学许可证（尚在有效期内）或有当地特殊教育指导中心确定的公办学校合作开展</w:t>
      </w:r>
      <w:bookmarkStart w:id="38" w:name="OLE_LINK16"/>
      <w:r>
        <w:rPr>
          <w:rFonts w:hint="eastAsia" w:ascii="宋体" w:hAnsi="宋体"/>
          <w:color w:val="auto"/>
          <w:sz w:val="24"/>
          <w:szCs w:val="24"/>
          <w:highlight w:val="none"/>
        </w:rPr>
        <w:t>康教融合服务的协议</w:t>
      </w:r>
      <w:bookmarkEnd w:id="38"/>
      <w:r>
        <w:rPr>
          <w:rFonts w:hint="eastAsia" w:ascii="宋体" w:hAnsi="宋体"/>
          <w:color w:val="auto"/>
          <w:sz w:val="24"/>
          <w:szCs w:val="24"/>
          <w:highlight w:val="none"/>
        </w:rPr>
        <w:t>（</w:t>
      </w:r>
      <w:bookmarkStart w:id="39" w:name="OLE_LINK13"/>
      <w:bookmarkStart w:id="40" w:name="OLE_LINK12"/>
      <w:r>
        <w:rPr>
          <w:rFonts w:hint="eastAsia" w:ascii="宋体" w:hAnsi="宋体"/>
          <w:color w:val="auto"/>
          <w:sz w:val="24"/>
          <w:szCs w:val="24"/>
          <w:highlight w:val="none"/>
        </w:rPr>
        <w:t>尚在有效期内</w:t>
      </w:r>
      <w:bookmarkEnd w:id="39"/>
      <w:bookmarkEnd w:id="40"/>
      <w:r>
        <w:rPr>
          <w:rFonts w:hint="eastAsia" w:ascii="宋体" w:hAnsi="宋体"/>
          <w:color w:val="auto"/>
          <w:sz w:val="24"/>
          <w:szCs w:val="24"/>
          <w:highlight w:val="none"/>
        </w:rPr>
        <w:t>）</w:t>
      </w:r>
      <w:bookmarkStart w:id="41" w:name="OLE_LINK61"/>
      <w:bookmarkStart w:id="42" w:name="OLE_LINK58"/>
      <w:r>
        <w:rPr>
          <w:rFonts w:hint="eastAsia" w:ascii="宋体" w:hAnsi="宋体"/>
          <w:b/>
          <w:color w:val="auto"/>
          <w:sz w:val="24"/>
          <w:szCs w:val="24"/>
          <w:highlight w:val="none"/>
        </w:rPr>
        <w:t>（提供相关证明材料扫描件）</w:t>
      </w:r>
      <w:bookmarkEnd w:id="41"/>
      <w:bookmarkEnd w:id="42"/>
      <w:r>
        <w:rPr>
          <w:rFonts w:hint="eastAsia" w:ascii="宋体" w:hAnsi="宋体"/>
          <w:b/>
          <w:color w:val="auto"/>
          <w:sz w:val="24"/>
          <w:szCs w:val="24"/>
          <w:highlight w:val="none"/>
        </w:rPr>
        <w:t>，</w:t>
      </w:r>
      <w:r>
        <w:rPr>
          <w:rFonts w:hint="eastAsia" w:ascii="宋体" w:hAnsi="宋体"/>
          <w:color w:val="auto"/>
          <w:sz w:val="24"/>
          <w:szCs w:val="24"/>
          <w:highlight w:val="none"/>
        </w:rPr>
        <w:t>且协议必须符合《关于印发〈无锡市康教融合服务协议审核备案工作机制〉的通知》（锡残〔2024〕18号）中对教育类康复机构签订融合服务协议的要求（有符合条件的学校、教育类机构、所属辖区融合教育指导中心三方盖章）；②从事康复医疗应取得与康复训练相应的《医疗机构执业许可证》或《诊所备案证》（尚在有效期内）</w:t>
      </w:r>
      <w:bookmarkStart w:id="43" w:name="OLE_LINK63"/>
      <w:bookmarkStart w:id="44" w:name="OLE_LINK62"/>
      <w:r>
        <w:rPr>
          <w:rFonts w:hint="eastAsia" w:ascii="宋体" w:hAnsi="宋体"/>
          <w:b/>
          <w:color w:val="auto"/>
          <w:sz w:val="24"/>
          <w:szCs w:val="24"/>
          <w:highlight w:val="none"/>
        </w:rPr>
        <w:t>（提供相关证明材料扫描件</w:t>
      </w:r>
      <w:r>
        <w:rPr>
          <w:rFonts w:hint="eastAsia" w:ascii="宋体" w:hAnsi="宋体"/>
          <w:bCs/>
          <w:color w:val="auto"/>
          <w:sz w:val="24"/>
          <w:szCs w:val="24"/>
          <w:highlight w:val="none"/>
        </w:rPr>
        <w:t>）</w:t>
      </w:r>
      <w:bookmarkEnd w:id="43"/>
      <w:bookmarkEnd w:id="44"/>
      <w:r>
        <w:rPr>
          <w:rFonts w:hint="eastAsia" w:ascii="宋体" w:hAnsi="宋体"/>
          <w:bCs/>
          <w:color w:val="auto"/>
          <w:sz w:val="24"/>
          <w:szCs w:val="24"/>
          <w:highlight w:val="none"/>
        </w:rPr>
        <w:t>；</w:t>
      </w:r>
      <w:r>
        <w:rPr>
          <w:rFonts w:hint="eastAsia" w:ascii="宋体" w:hAnsi="宋体"/>
          <w:color w:val="auto"/>
          <w:sz w:val="24"/>
          <w:szCs w:val="24"/>
          <w:highlight w:val="none"/>
        </w:rPr>
        <w:t>申请采购包二、采购包三、采购包四的医疗机构，还需有当地特殊教育指导中心确定的公办学校合作开展康教融合服务的协议（尚在有效期内）（提供相关证明材料扫描件）。</w:t>
      </w:r>
      <w:bookmarkStart w:id="45" w:name="OLE_LINK30"/>
      <w:r>
        <w:rPr>
          <w:rFonts w:hint="eastAsia" w:ascii="宋体" w:hAnsi="宋体"/>
          <w:color w:val="auto"/>
          <w:sz w:val="24"/>
          <w:szCs w:val="24"/>
          <w:highlight w:val="none"/>
        </w:rPr>
        <w:t>注：上述两个条件满足任一条件即可。</w:t>
      </w:r>
      <w:bookmarkEnd w:id="35"/>
      <w:bookmarkEnd w:id="45"/>
    </w:p>
    <w:p w14:paraId="69E5B39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2.3.2机构建设和装饰工程通过属地政府相关职能部门的建设（建筑）工程消防验收，取得《建设工程竣工验收备案凭证》或《建设工程消防验收意见书》或《建设工程消防设计验收意见书》等，因不动产等历史遗留问题无法取得上述消防验收材料的，应取得消防技术服务机构出具的《单位消防安全评估报告》且风险等级达到Ⅰ级。</w:t>
      </w:r>
      <w:r>
        <w:rPr>
          <w:rFonts w:hint="eastAsia" w:ascii="宋体" w:hAnsi="宋体"/>
          <w:b/>
          <w:color w:val="auto"/>
          <w:sz w:val="24"/>
          <w:szCs w:val="24"/>
          <w:highlight w:val="none"/>
        </w:rPr>
        <w:t>（提供相关证明材料扫描件）</w:t>
      </w:r>
    </w:p>
    <w:p w14:paraId="2C27BD0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2.3.3有下列房屋结构改造行为之一的，应提供房产行政管理部门出具的房屋结构改造安全许可</w:t>
      </w:r>
      <w:r>
        <w:rPr>
          <w:rFonts w:hint="eastAsia" w:ascii="宋体" w:hAnsi="宋体"/>
          <w:b/>
          <w:color w:val="auto"/>
          <w:sz w:val="24"/>
          <w:szCs w:val="24"/>
          <w:highlight w:val="none"/>
        </w:rPr>
        <w:t>（提供相关证明材料扫描件）</w:t>
      </w:r>
      <w:r>
        <w:rPr>
          <w:rFonts w:hint="eastAsia" w:ascii="宋体" w:hAnsi="宋体"/>
          <w:color w:val="auto"/>
          <w:sz w:val="24"/>
          <w:szCs w:val="24"/>
          <w:highlight w:val="none"/>
        </w:rPr>
        <w:t>：①拆除或者部分拆除房屋柱、梁、板、承重墙体的；②在柱、梁、楼板上开设洞口或者扩大原有洞口尺寸的；③在承重墙体上增开、扩大门、窗、洞口或者变更位置的；④增大荷载，超出房屋原设计承载力的；⑤在建成房屋挖建地下室或者降低房屋地坪标高的。</w:t>
      </w:r>
    </w:p>
    <w:p w14:paraId="0B8BF4EA">
      <w:pPr>
        <w:spacing w:line="360" w:lineRule="auto"/>
        <w:ind w:firstLine="480"/>
        <w:rPr>
          <w:rFonts w:ascii="宋体" w:hAnsi="宋体"/>
          <w:b/>
          <w:color w:val="auto"/>
          <w:sz w:val="24"/>
          <w:szCs w:val="24"/>
          <w:highlight w:val="none"/>
        </w:rPr>
      </w:pPr>
      <w:r>
        <w:rPr>
          <w:rFonts w:hint="eastAsia" w:ascii="宋体" w:hAnsi="宋体"/>
          <w:b/>
          <w:color w:val="auto"/>
          <w:sz w:val="24"/>
          <w:szCs w:val="24"/>
          <w:highlight w:val="none"/>
        </w:rPr>
        <w:t>若没有上述行为之一的，则提供承诺书</w:t>
      </w:r>
      <w:r>
        <w:rPr>
          <w:rFonts w:hint="eastAsia" w:ascii="宋体" w:hAnsi="宋体"/>
          <w:b/>
          <w:color w:val="auto"/>
          <w:sz w:val="24"/>
          <w:szCs w:val="24"/>
          <w:highlight w:val="none"/>
          <w:lang w:eastAsia="zh-CN"/>
        </w:rPr>
        <w:t>二</w:t>
      </w:r>
      <w:r>
        <w:rPr>
          <w:rFonts w:hint="eastAsia" w:ascii="宋体" w:hAnsi="宋体"/>
          <w:b/>
          <w:color w:val="auto"/>
          <w:sz w:val="24"/>
          <w:szCs w:val="24"/>
          <w:highlight w:val="none"/>
        </w:rPr>
        <w:t>原件扫描件（格式见附件）。</w:t>
      </w:r>
    </w:p>
    <w:p w14:paraId="7D68AC4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2.3.4教育和康复场所必须与营业执照登记的注册地一致（以供应商填列的《投标人情况一览表》为准，给定格式，见附件）。</w:t>
      </w:r>
      <w:bookmarkEnd w:id="36"/>
      <w:bookmarkEnd w:id="37"/>
    </w:p>
    <w:p w14:paraId="2D777937">
      <w:pPr>
        <w:spacing w:line="360" w:lineRule="auto"/>
        <w:ind w:firstLine="480"/>
        <w:rPr>
          <w:rFonts w:ascii="宋体" w:hAnsi="宋体"/>
          <w:color w:val="auto"/>
          <w:sz w:val="24"/>
          <w:szCs w:val="24"/>
          <w:highlight w:val="none"/>
          <w:lang w:val="zh-CN"/>
        </w:rPr>
      </w:pPr>
      <w:r>
        <w:rPr>
          <w:rFonts w:hint="eastAsia" w:ascii="宋体" w:hAnsi="宋体"/>
          <w:color w:val="auto"/>
          <w:sz w:val="24"/>
          <w:szCs w:val="24"/>
          <w:highlight w:val="none"/>
        </w:rPr>
        <w:t>2.4</w:t>
      </w:r>
      <w:r>
        <w:rPr>
          <w:rFonts w:hint="eastAsia" w:ascii="宋体" w:hAnsi="宋体"/>
          <w:color w:val="auto"/>
          <w:sz w:val="24"/>
          <w:szCs w:val="24"/>
          <w:highlight w:val="none"/>
          <w:lang w:val="zh-CN"/>
        </w:rPr>
        <w:t>拒绝下述供应商参加本次采购活动：</w:t>
      </w:r>
    </w:p>
    <w:p w14:paraId="5898ED1F">
      <w:pPr>
        <w:spacing w:line="360" w:lineRule="auto"/>
        <w:ind w:firstLine="480"/>
        <w:rPr>
          <w:rFonts w:ascii="宋体" w:hAnsi="宋体" w:cs="宋体"/>
          <w:color w:val="auto"/>
          <w:sz w:val="24"/>
          <w:szCs w:val="24"/>
          <w:highlight w:val="none"/>
        </w:rPr>
      </w:pPr>
      <w:r>
        <w:rPr>
          <w:rFonts w:hint="eastAsia" w:ascii="宋体" w:hAnsi="宋体"/>
          <w:color w:val="auto"/>
          <w:sz w:val="24"/>
          <w:szCs w:val="24"/>
          <w:highlight w:val="none"/>
          <w:lang w:val="zh-CN"/>
        </w:rPr>
        <w:t>2.4.1供应商单位负责人为</w:t>
      </w:r>
      <w:r>
        <w:rPr>
          <w:rFonts w:hint="eastAsia" w:ascii="宋体" w:hAnsi="宋体" w:cs="宋体"/>
          <w:color w:val="auto"/>
          <w:sz w:val="24"/>
          <w:szCs w:val="24"/>
          <w:highlight w:val="none"/>
        </w:rPr>
        <w:t>同一人或者存在直接控股、管理关系的不同供应商，不得参加同一合同项下的政府采购活动；</w:t>
      </w:r>
    </w:p>
    <w:p w14:paraId="4EAC5099">
      <w:pPr>
        <w:spacing w:line="360" w:lineRule="auto"/>
        <w:ind w:firstLine="480"/>
        <w:rPr>
          <w:rFonts w:ascii="宋体" w:hAnsi="宋体"/>
          <w:color w:val="auto"/>
          <w:sz w:val="24"/>
          <w:szCs w:val="24"/>
          <w:highlight w:val="none"/>
        </w:rPr>
      </w:pPr>
      <w:r>
        <w:rPr>
          <w:rFonts w:hint="eastAsia" w:ascii="宋体" w:hAnsi="宋体" w:cs="宋体"/>
          <w:color w:val="auto"/>
          <w:sz w:val="24"/>
          <w:szCs w:val="24"/>
          <w:highlight w:val="none"/>
        </w:rPr>
        <w:t>2.4.2为采购项目提供整体设计、规范编制或者项目管理、监理、检测等服务的供应商，不得参加本项目的采购活动。</w:t>
      </w:r>
    </w:p>
    <w:p w14:paraId="21925964">
      <w:pPr>
        <w:pStyle w:val="5"/>
        <w:keepNext w:val="0"/>
        <w:keepLines w:val="0"/>
        <w:spacing w:before="0" w:after="0" w:line="360" w:lineRule="auto"/>
        <w:ind w:firstLine="452"/>
        <w:rPr>
          <w:color w:val="auto"/>
          <w:sz w:val="30"/>
          <w:szCs w:val="30"/>
          <w:highlight w:val="none"/>
          <w:lang w:eastAsia="zh-CN"/>
        </w:rPr>
      </w:pPr>
      <w:r>
        <w:rPr>
          <w:rFonts w:hint="eastAsia"/>
          <w:color w:val="auto"/>
          <w:sz w:val="30"/>
          <w:szCs w:val="30"/>
          <w:highlight w:val="none"/>
          <w:lang w:eastAsia="zh-CN"/>
        </w:rPr>
        <w:t>三、框架协议的期限</w:t>
      </w:r>
    </w:p>
    <w:p w14:paraId="052D1B6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二年（2026年1月1日-2027年12月31日）</w:t>
      </w:r>
      <w:r>
        <w:rPr>
          <w:rFonts w:ascii="宋体" w:hAnsi="宋体"/>
          <w:color w:val="auto"/>
          <w:sz w:val="24"/>
          <w:szCs w:val="24"/>
          <w:highlight w:val="none"/>
        </w:rPr>
        <w:t>（</w:t>
      </w:r>
      <w:r>
        <w:rPr>
          <w:rFonts w:hint="eastAsia" w:ascii="宋体" w:hAnsi="宋体"/>
          <w:color w:val="auto"/>
          <w:sz w:val="24"/>
          <w:szCs w:val="24"/>
          <w:highlight w:val="none"/>
        </w:rPr>
        <w:t>本项目框架协议的期限暂定为2年，若省厅另有统一征集的，按省厅征集要求及结果执行</w:t>
      </w:r>
      <w:r>
        <w:rPr>
          <w:rFonts w:ascii="宋体" w:hAnsi="宋体"/>
          <w:color w:val="auto"/>
          <w:sz w:val="24"/>
          <w:szCs w:val="24"/>
          <w:highlight w:val="none"/>
        </w:rPr>
        <w:t>）</w:t>
      </w:r>
      <w:r>
        <w:rPr>
          <w:rFonts w:hint="eastAsia" w:ascii="宋体" w:hAnsi="宋体"/>
          <w:color w:val="auto"/>
          <w:sz w:val="24"/>
          <w:szCs w:val="24"/>
          <w:highlight w:val="none"/>
        </w:rPr>
        <w:t>。</w:t>
      </w:r>
    </w:p>
    <w:p w14:paraId="5C2F7345">
      <w:pPr>
        <w:pStyle w:val="5"/>
        <w:keepNext w:val="0"/>
        <w:keepLines w:val="0"/>
        <w:spacing w:before="0" w:after="0" w:line="360" w:lineRule="auto"/>
        <w:ind w:firstLine="452"/>
        <w:rPr>
          <w:color w:val="auto"/>
          <w:sz w:val="30"/>
          <w:szCs w:val="30"/>
          <w:highlight w:val="none"/>
          <w:lang w:eastAsia="zh-CN"/>
        </w:rPr>
      </w:pPr>
      <w:r>
        <w:rPr>
          <w:rFonts w:hint="eastAsia"/>
          <w:color w:val="auto"/>
          <w:sz w:val="30"/>
          <w:szCs w:val="30"/>
          <w:highlight w:val="none"/>
          <w:lang w:eastAsia="zh-CN"/>
        </w:rPr>
        <w:t>四、获取征集文件的时间、地点和方式</w:t>
      </w:r>
    </w:p>
    <w:p w14:paraId="15DF79E5">
      <w:pPr>
        <w:spacing w:line="360" w:lineRule="auto"/>
        <w:ind w:firstLine="480"/>
        <w:rPr>
          <w:rFonts w:ascii="宋体" w:hAnsi="宋体"/>
          <w:color w:val="auto"/>
          <w:sz w:val="24"/>
          <w:szCs w:val="24"/>
          <w:highlight w:val="none"/>
        </w:rPr>
      </w:pPr>
      <w:r>
        <w:rPr>
          <w:rFonts w:hint="eastAsia" w:ascii="宋体" w:hAnsi="宋体" w:cs="宋体"/>
          <w:color w:val="auto"/>
          <w:sz w:val="24"/>
          <w:szCs w:val="24"/>
          <w:highlight w:val="none"/>
        </w:rPr>
        <w:t>时间：</w:t>
      </w:r>
      <w:r>
        <w:rPr>
          <w:rFonts w:hint="eastAsia" w:ascii="宋体" w:hAnsi="宋体"/>
          <w:color w:val="auto"/>
          <w:sz w:val="24"/>
          <w:szCs w:val="24"/>
          <w:highlight w:val="none"/>
        </w:rPr>
        <w:t>本征集文件有效获取期限以本项目征集公告中规定的获取征集文件时间为准。</w:t>
      </w:r>
    </w:p>
    <w:p w14:paraId="2041B41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地点：“江苏省政府采购（苏采云）平台”。</w:t>
      </w:r>
    </w:p>
    <w:p w14:paraId="30B36E3B">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方式：供应商应在“江苏政府采购网”自行浏览征集文件，如有参加意向须在本征集文件有效获取期内通过登录</w:t>
      </w:r>
      <w:r>
        <w:rPr>
          <w:rFonts w:ascii="宋体" w:hAnsi="宋体"/>
          <w:color w:val="auto"/>
          <w:sz w:val="24"/>
          <w:szCs w:val="24"/>
          <w:highlight w:val="none"/>
        </w:rPr>
        <w:t>“江苏省政府采购（苏采云）平台”（http://jszfcg.jscz.gov.cn/jszc/login）</w:t>
      </w:r>
      <w:r>
        <w:rPr>
          <w:rFonts w:hint="eastAsia" w:ascii="宋体" w:hAnsi="宋体"/>
          <w:color w:val="auto"/>
          <w:sz w:val="24"/>
          <w:szCs w:val="24"/>
          <w:highlight w:val="none"/>
        </w:rPr>
        <w:t>下载的方式依法获取征集文件（“项目参与”——“框架项目参与”——“封闭框架参与”找到需要获取征集文件的项目，点击“我要参与”——“参与投标”——“下载文件”）。在征集文件有效获取期限内，从“江苏省政府采购（苏采云）平台”获取的征集文件，视为依法获取的征集文件。本项目征集文件免费。</w:t>
      </w:r>
    </w:p>
    <w:p w14:paraId="229B6362">
      <w:pPr>
        <w:pStyle w:val="5"/>
        <w:keepNext w:val="0"/>
        <w:keepLines w:val="0"/>
        <w:spacing w:before="0" w:after="0" w:line="360" w:lineRule="auto"/>
        <w:ind w:firstLine="452"/>
        <w:rPr>
          <w:color w:val="auto"/>
          <w:sz w:val="30"/>
          <w:szCs w:val="30"/>
          <w:highlight w:val="none"/>
          <w:lang w:eastAsia="zh-CN"/>
        </w:rPr>
      </w:pPr>
      <w:r>
        <w:rPr>
          <w:rFonts w:hint="eastAsia"/>
          <w:color w:val="auto"/>
          <w:sz w:val="30"/>
          <w:szCs w:val="30"/>
          <w:highlight w:val="none"/>
          <w:lang w:eastAsia="zh-CN"/>
        </w:rPr>
        <w:t>五</w:t>
      </w:r>
      <w:r>
        <w:rPr>
          <w:color w:val="auto"/>
          <w:sz w:val="30"/>
          <w:szCs w:val="30"/>
          <w:highlight w:val="none"/>
          <w:lang w:eastAsia="zh-CN"/>
        </w:rPr>
        <w:t>、响应文件的提交方式、提交截止时间和地点，开启方式、时间和地点</w:t>
      </w:r>
    </w:p>
    <w:p w14:paraId="1E42C84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响应文件的提交截止时间及开启时间：2025年12月</w:t>
      </w:r>
      <w:r>
        <w:rPr>
          <w:rFonts w:hint="eastAsia" w:ascii="宋体" w:hAnsi="宋体"/>
          <w:color w:val="auto"/>
          <w:sz w:val="24"/>
          <w:szCs w:val="24"/>
          <w:highlight w:val="none"/>
          <w:lang w:val="en-US" w:eastAsia="zh-CN"/>
        </w:rPr>
        <w:t>30</w:t>
      </w:r>
      <w:r>
        <w:rPr>
          <w:rFonts w:hint="eastAsia" w:ascii="宋体" w:hAnsi="宋体"/>
          <w:color w:val="auto"/>
          <w:sz w:val="24"/>
          <w:szCs w:val="24"/>
          <w:highlight w:val="none"/>
        </w:rPr>
        <w:t>日</w:t>
      </w:r>
      <w:r>
        <w:rPr>
          <w:rFonts w:hint="eastAsia" w:ascii="宋体" w:hAnsi="宋体"/>
          <w:color w:val="auto"/>
          <w:sz w:val="24"/>
          <w:szCs w:val="24"/>
          <w:highlight w:val="none"/>
          <w:lang w:val="en-US" w:eastAsia="zh-CN"/>
        </w:rPr>
        <w:t>13</w:t>
      </w:r>
      <w:r>
        <w:rPr>
          <w:rFonts w:hint="eastAsia" w:ascii="宋体" w:hAnsi="宋体"/>
          <w:color w:val="auto"/>
          <w:sz w:val="24"/>
          <w:szCs w:val="24"/>
          <w:highlight w:val="none"/>
        </w:rPr>
        <w:t>点30分（北京</w:t>
      </w:r>
      <w:r>
        <w:rPr>
          <w:rFonts w:hint="eastAsia" w:ascii="宋体" w:hAnsi="宋体"/>
          <w:bCs/>
          <w:color w:val="auto"/>
          <w:sz w:val="24"/>
          <w:szCs w:val="24"/>
          <w:highlight w:val="none"/>
        </w:rPr>
        <w:t>时间），提交时间截止后同时开启。截止时间后上传的任何响应文件恕不接受。</w:t>
      </w:r>
    </w:p>
    <w:p w14:paraId="2C94D97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响应文件的提交方式和地点：供应商通过“江苏省政府采购（苏采云）平台”提交数据电文形式（电子形式）的响应文件。</w:t>
      </w:r>
    </w:p>
    <w:p w14:paraId="10146D24">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响应文件的开启方式和地点：供应商通过“江苏省政府采购（苏采云）平台”进入 “开标大厅”开启（解密）响应文件。</w:t>
      </w:r>
    </w:p>
    <w:bookmarkEnd w:id="28"/>
    <w:bookmarkEnd w:id="29"/>
    <w:bookmarkEnd w:id="30"/>
    <w:bookmarkEnd w:id="31"/>
    <w:bookmarkEnd w:id="32"/>
    <w:p w14:paraId="4E631587">
      <w:pPr>
        <w:pStyle w:val="5"/>
        <w:keepNext w:val="0"/>
        <w:keepLines w:val="0"/>
        <w:spacing w:before="0" w:after="0" w:line="360" w:lineRule="auto"/>
        <w:ind w:firstLine="452"/>
        <w:rPr>
          <w:color w:val="auto"/>
          <w:sz w:val="30"/>
          <w:szCs w:val="30"/>
          <w:highlight w:val="none"/>
          <w:lang w:eastAsia="zh-CN"/>
        </w:rPr>
      </w:pPr>
      <w:bookmarkStart w:id="46" w:name="_Toc28359084"/>
      <w:bookmarkStart w:id="47" w:name="_Toc28359007"/>
      <w:bookmarkStart w:id="48" w:name="_Toc38985267"/>
      <w:bookmarkStart w:id="49" w:name="_Toc35393625"/>
      <w:bookmarkStart w:id="50" w:name="_Toc35393794"/>
      <w:r>
        <w:rPr>
          <w:rFonts w:hint="eastAsia"/>
          <w:color w:val="auto"/>
          <w:sz w:val="30"/>
          <w:szCs w:val="30"/>
          <w:highlight w:val="none"/>
          <w:lang w:eastAsia="zh-CN"/>
        </w:rPr>
        <w:t>六、公告期限</w:t>
      </w:r>
      <w:bookmarkEnd w:id="46"/>
      <w:bookmarkEnd w:id="47"/>
      <w:bookmarkEnd w:id="48"/>
      <w:bookmarkEnd w:id="49"/>
      <w:bookmarkEnd w:id="50"/>
    </w:p>
    <w:p w14:paraId="46CC98BA">
      <w:pPr>
        <w:spacing w:line="360" w:lineRule="auto"/>
        <w:ind w:firstLine="480"/>
        <w:rPr>
          <w:rFonts w:ascii="宋体" w:hAnsi="宋体" w:cs="宋体"/>
          <w:color w:val="auto"/>
          <w:sz w:val="24"/>
          <w:szCs w:val="24"/>
          <w:highlight w:val="none"/>
        </w:rPr>
      </w:pPr>
      <w:bookmarkStart w:id="51" w:name="_Toc35393626"/>
      <w:bookmarkStart w:id="52" w:name="_Toc38985268"/>
      <w:bookmarkStart w:id="53" w:name="_Toc35393795"/>
      <w:r>
        <w:rPr>
          <w:rFonts w:hint="eastAsia" w:ascii="宋体" w:hAnsi="宋体" w:cs="宋体"/>
          <w:color w:val="auto"/>
          <w:sz w:val="24"/>
          <w:szCs w:val="24"/>
          <w:highlight w:val="none"/>
        </w:rPr>
        <w:t>征集公告及征集文件公告期限为自本公告发布之日起5个工作日。</w:t>
      </w:r>
    </w:p>
    <w:bookmarkEnd w:id="51"/>
    <w:bookmarkEnd w:id="52"/>
    <w:bookmarkEnd w:id="53"/>
    <w:p w14:paraId="2537D456">
      <w:pPr>
        <w:pStyle w:val="5"/>
        <w:keepNext w:val="0"/>
        <w:keepLines w:val="0"/>
        <w:spacing w:before="0" w:after="0" w:line="360" w:lineRule="auto"/>
        <w:ind w:firstLine="452"/>
        <w:rPr>
          <w:color w:val="auto"/>
          <w:sz w:val="30"/>
          <w:szCs w:val="30"/>
          <w:highlight w:val="none"/>
          <w:lang w:eastAsia="zh-CN"/>
        </w:rPr>
      </w:pPr>
      <w:r>
        <w:rPr>
          <w:rFonts w:hint="eastAsia"/>
          <w:color w:val="auto"/>
          <w:sz w:val="30"/>
          <w:szCs w:val="30"/>
          <w:highlight w:val="none"/>
          <w:lang w:eastAsia="zh-CN"/>
        </w:rPr>
        <w:t>七、省级以上财政部门规定的其他事项</w:t>
      </w:r>
    </w:p>
    <w:p w14:paraId="14CC8AF6">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无。</w:t>
      </w:r>
    </w:p>
    <w:p w14:paraId="5E9EFFF9">
      <w:pPr>
        <w:pStyle w:val="5"/>
        <w:keepNext w:val="0"/>
        <w:keepLines w:val="0"/>
        <w:spacing w:before="0" w:after="0" w:line="360" w:lineRule="auto"/>
        <w:ind w:firstLine="452"/>
        <w:rPr>
          <w:color w:val="auto"/>
          <w:sz w:val="30"/>
          <w:szCs w:val="30"/>
          <w:highlight w:val="none"/>
          <w:lang w:eastAsia="zh-CN"/>
        </w:rPr>
      </w:pPr>
      <w:bookmarkStart w:id="54" w:name="OLE_LINK117"/>
      <w:bookmarkStart w:id="55" w:name="OLE_LINK118"/>
      <w:r>
        <w:rPr>
          <w:rFonts w:hint="eastAsia"/>
          <w:color w:val="auto"/>
          <w:sz w:val="30"/>
          <w:szCs w:val="30"/>
          <w:highlight w:val="none"/>
          <w:lang w:eastAsia="zh-CN"/>
        </w:rPr>
        <w:t>八、其他</w:t>
      </w:r>
    </w:p>
    <w:p w14:paraId="503FABDF">
      <w:pPr>
        <w:spacing w:line="360" w:lineRule="auto"/>
        <w:ind w:firstLine="480" w:firstLineChars="200"/>
        <w:rPr>
          <w:rFonts w:ascii="宋体" w:hAnsi="宋体"/>
          <w:bCs/>
          <w:color w:val="auto"/>
          <w:sz w:val="24"/>
          <w:szCs w:val="24"/>
          <w:highlight w:val="none"/>
        </w:rPr>
      </w:pPr>
      <w:bookmarkStart w:id="56" w:name="OLE_LINK64"/>
      <w:r>
        <w:rPr>
          <w:rFonts w:hint="eastAsia" w:ascii="宋体" w:hAnsi="宋体"/>
          <w:bCs/>
          <w:color w:val="auto"/>
          <w:sz w:val="24"/>
          <w:szCs w:val="24"/>
          <w:highlight w:val="none"/>
        </w:rPr>
        <w:t>1.请有意参加本项目申请的供应商按以下流程进行操作：</w:t>
      </w:r>
    </w:p>
    <w:p w14:paraId="35B16679">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（1）访问“江苏政府采购网”点击“江苏省政府采购（苏采云）平台”—“用户注册”按钮进入注册界面，也可以直接通过http://jszfcg.jsczt.cn/jszc/login？进入注册界面。</w:t>
      </w:r>
    </w:p>
    <w:p w14:paraId="71B50F57">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（2）办理并领取CA和电子签章（办理地址：无锡市观山路市民中心12号楼2楼公共资源交易大厅9号10号窗口）。</w:t>
      </w:r>
    </w:p>
    <w:p w14:paraId="4A1A5F36">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（3）“苏采云”系统供应商操作手册链接：</w:t>
      </w:r>
    </w:p>
    <w:p w14:paraId="70C375F4">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 xml:space="preserve">http://cz.wuxi.gov.cn/ztzl/zfcg/zlxz/scy/index.shtml  </w:t>
      </w:r>
    </w:p>
    <w:p w14:paraId="1590FB98">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（4）CA驱动下载链接（政务CA方正签章控件驱动）：</w:t>
      </w:r>
    </w:p>
    <w:p w14:paraId="7610A38C">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 xml:space="preserve">http://cz.wuxi.gov.cn/ztzl/zfcg/zlxz/scy/index.shtml </w:t>
      </w:r>
    </w:p>
    <w:p w14:paraId="775F2DF0">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技术服务QQ：3071474382（服务时间：工作日9:00-17:00）</w:t>
      </w:r>
    </w:p>
    <w:p w14:paraId="1972489A">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2.完成注册的供应商方可绑定CA，并使用CA登录苏采云平台，参与项目，上传投标文件（响应文件），进行投标。</w:t>
      </w:r>
    </w:p>
    <w:p w14:paraId="5057EB86">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3.如供应商未按上述要求操作，由此所产生的损失及风险由供应商自行承担。</w:t>
      </w:r>
    </w:p>
    <w:bookmarkEnd w:id="56"/>
    <w:p w14:paraId="3F961501">
      <w:pPr>
        <w:widowControl/>
        <w:shd w:val="clear" w:color="auto" w:fill="FFFFFF"/>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（二）完成项目参与，获取征集文件</w:t>
      </w:r>
    </w:p>
    <w:p w14:paraId="7669A821">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供应商可在项目</w:t>
      </w:r>
      <w:r>
        <w:rPr>
          <w:rFonts w:hint="eastAsia" w:ascii="宋体" w:hAnsi="宋体"/>
          <w:color w:val="auto"/>
          <w:sz w:val="24"/>
          <w:szCs w:val="24"/>
          <w:highlight w:val="none"/>
        </w:rPr>
        <w:t>征集</w:t>
      </w:r>
      <w:r>
        <w:rPr>
          <w:rFonts w:ascii="宋体" w:hAnsi="宋体"/>
          <w:color w:val="auto"/>
          <w:sz w:val="24"/>
          <w:szCs w:val="24"/>
          <w:highlight w:val="none"/>
        </w:rPr>
        <w:t>公告附件中查看征集文件，如确定参加本次</w:t>
      </w:r>
      <w:r>
        <w:rPr>
          <w:rFonts w:hint="eastAsia" w:ascii="宋体" w:hAnsi="宋体"/>
          <w:color w:val="auto"/>
          <w:sz w:val="24"/>
          <w:szCs w:val="24"/>
          <w:highlight w:val="none"/>
        </w:rPr>
        <w:t>采购</w:t>
      </w:r>
      <w:r>
        <w:rPr>
          <w:rFonts w:ascii="宋体" w:hAnsi="宋体"/>
          <w:color w:val="auto"/>
          <w:sz w:val="24"/>
          <w:szCs w:val="24"/>
          <w:highlight w:val="none"/>
        </w:rPr>
        <w:t>活动，必须在</w:t>
      </w:r>
      <w:r>
        <w:rPr>
          <w:rFonts w:hint="eastAsia" w:ascii="宋体" w:hAnsi="宋体"/>
          <w:color w:val="auto"/>
          <w:sz w:val="24"/>
          <w:szCs w:val="24"/>
          <w:highlight w:val="none"/>
        </w:rPr>
        <w:t>征集</w:t>
      </w:r>
      <w:r>
        <w:rPr>
          <w:rFonts w:hint="eastAsia" w:ascii="宋体" w:hAnsi="宋体"/>
          <w:bCs/>
          <w:color w:val="auto"/>
          <w:sz w:val="24"/>
          <w:szCs w:val="24"/>
          <w:highlight w:val="none"/>
        </w:rPr>
        <w:t>文件提供期限</w:t>
      </w:r>
      <w:r>
        <w:rPr>
          <w:rFonts w:ascii="宋体" w:hAnsi="宋体"/>
          <w:color w:val="auto"/>
          <w:sz w:val="24"/>
          <w:szCs w:val="24"/>
          <w:highlight w:val="none"/>
        </w:rPr>
        <w:t>内</w:t>
      </w:r>
      <w:r>
        <w:rPr>
          <w:rFonts w:hint="eastAsia" w:ascii="宋体" w:hAnsi="宋体"/>
          <w:color w:val="auto"/>
          <w:sz w:val="24"/>
          <w:szCs w:val="24"/>
          <w:highlight w:val="none"/>
        </w:rPr>
        <w:t>从</w:t>
      </w:r>
      <w:r>
        <w:rPr>
          <w:rFonts w:hint="eastAsia" w:ascii="宋体" w:hAnsi="宋体"/>
          <w:bCs/>
          <w:color w:val="auto"/>
          <w:sz w:val="24"/>
          <w:szCs w:val="24"/>
          <w:highlight w:val="none"/>
        </w:rPr>
        <w:t>“苏采云”系统</w:t>
      </w:r>
      <w:r>
        <w:rPr>
          <w:rFonts w:ascii="宋体" w:hAnsi="宋体"/>
          <w:color w:val="auto"/>
          <w:sz w:val="24"/>
          <w:szCs w:val="24"/>
          <w:highlight w:val="none"/>
        </w:rPr>
        <w:t>中下载文件</w:t>
      </w:r>
      <w:r>
        <w:rPr>
          <w:rFonts w:hint="eastAsia" w:ascii="宋体" w:hAnsi="宋体"/>
          <w:color w:val="auto"/>
          <w:sz w:val="24"/>
          <w:szCs w:val="24"/>
          <w:highlight w:val="none"/>
        </w:rPr>
        <w:t>（“项目参与”——“框架项目参与”——“封闭框架参与”找到需要获取征集文件的项目，点击“我要参与”——“参与投标”——“下载文件”）</w:t>
      </w:r>
      <w:r>
        <w:rPr>
          <w:rFonts w:ascii="宋体" w:hAnsi="宋体"/>
          <w:color w:val="auto"/>
          <w:sz w:val="24"/>
          <w:szCs w:val="24"/>
          <w:highlight w:val="none"/>
        </w:rPr>
        <w:t>，完成项目</w:t>
      </w:r>
      <w:r>
        <w:rPr>
          <w:rFonts w:hint="eastAsia" w:ascii="宋体" w:hAnsi="宋体"/>
          <w:color w:val="auto"/>
          <w:sz w:val="24"/>
          <w:szCs w:val="24"/>
          <w:highlight w:val="none"/>
        </w:rPr>
        <w:t>参与</w:t>
      </w:r>
      <w:r>
        <w:rPr>
          <w:rFonts w:ascii="宋体" w:hAnsi="宋体"/>
          <w:color w:val="auto"/>
          <w:sz w:val="24"/>
          <w:szCs w:val="24"/>
          <w:highlight w:val="none"/>
        </w:rPr>
        <w:t>，</w:t>
      </w:r>
      <w:r>
        <w:rPr>
          <w:rFonts w:hint="eastAsia" w:ascii="宋体" w:hAnsi="宋体"/>
          <w:color w:val="auto"/>
          <w:sz w:val="24"/>
          <w:szCs w:val="24"/>
          <w:highlight w:val="none"/>
        </w:rPr>
        <w:t>将</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w:t>
      </w:r>
      <w:r>
        <w:rPr>
          <w:rFonts w:ascii="宋体" w:hAnsi="宋体"/>
          <w:color w:val="auto"/>
          <w:sz w:val="24"/>
          <w:szCs w:val="24"/>
          <w:highlight w:val="none"/>
        </w:rPr>
        <w:t>下载的</w:t>
      </w:r>
      <w:r>
        <w:rPr>
          <w:rFonts w:hint="eastAsia" w:ascii="宋体" w:hAnsi="宋体"/>
          <w:color w:val="auto"/>
          <w:sz w:val="24"/>
          <w:szCs w:val="24"/>
          <w:highlight w:val="none"/>
        </w:rPr>
        <w:t>征集</w:t>
      </w:r>
      <w:r>
        <w:rPr>
          <w:rFonts w:ascii="宋体" w:hAnsi="宋体"/>
          <w:color w:val="auto"/>
          <w:sz w:val="24"/>
          <w:szCs w:val="24"/>
          <w:highlight w:val="none"/>
        </w:rPr>
        <w:t>文件</w:t>
      </w:r>
      <w:r>
        <w:rPr>
          <w:rFonts w:hint="eastAsia" w:ascii="宋体" w:hAnsi="宋体"/>
          <w:color w:val="auto"/>
          <w:sz w:val="24"/>
          <w:szCs w:val="24"/>
          <w:highlight w:val="none"/>
        </w:rPr>
        <w:t>（后缀名为“.kedt”）</w:t>
      </w:r>
      <w:r>
        <w:rPr>
          <w:rFonts w:ascii="宋体" w:hAnsi="宋体"/>
          <w:color w:val="auto"/>
          <w:sz w:val="24"/>
          <w:szCs w:val="24"/>
          <w:highlight w:val="none"/>
        </w:rPr>
        <w:t>导入到“政府采购客户端”，离线按要求</w:t>
      </w:r>
      <w:r>
        <w:rPr>
          <w:rFonts w:hint="eastAsia" w:ascii="宋体" w:hAnsi="宋体"/>
          <w:color w:val="auto"/>
          <w:sz w:val="24"/>
          <w:szCs w:val="24"/>
          <w:highlight w:val="none"/>
        </w:rPr>
        <w:t>编制</w:t>
      </w:r>
      <w:r>
        <w:rPr>
          <w:rFonts w:ascii="宋体" w:hAnsi="宋体"/>
          <w:color w:val="auto"/>
          <w:sz w:val="24"/>
          <w:szCs w:val="24"/>
          <w:highlight w:val="none"/>
        </w:rPr>
        <w:t>并加密</w:t>
      </w:r>
      <w:r>
        <w:rPr>
          <w:rFonts w:hint="eastAsia" w:ascii="宋体" w:hAnsi="宋体"/>
          <w:color w:val="auto"/>
          <w:sz w:val="24"/>
          <w:szCs w:val="24"/>
          <w:highlight w:val="none"/>
        </w:rPr>
        <w:t>响应</w:t>
      </w:r>
      <w:r>
        <w:rPr>
          <w:rFonts w:ascii="宋体" w:hAnsi="宋体"/>
          <w:color w:val="auto"/>
          <w:sz w:val="24"/>
          <w:szCs w:val="24"/>
          <w:highlight w:val="none"/>
        </w:rPr>
        <w:t>文件</w:t>
      </w:r>
      <w:r>
        <w:rPr>
          <w:rFonts w:hint="eastAsia" w:ascii="宋体" w:hAnsi="宋体"/>
          <w:color w:val="auto"/>
          <w:sz w:val="24"/>
          <w:szCs w:val="24"/>
          <w:highlight w:val="none"/>
        </w:rPr>
        <w:t>（使用“CA数字证书”），</w:t>
      </w:r>
      <w:r>
        <w:rPr>
          <w:rFonts w:ascii="宋体" w:hAnsi="宋体"/>
          <w:color w:val="auto"/>
          <w:sz w:val="24"/>
          <w:szCs w:val="24"/>
          <w:highlight w:val="none"/>
        </w:rPr>
        <w:t>导出加密的</w:t>
      </w:r>
      <w:r>
        <w:rPr>
          <w:rFonts w:hint="eastAsia" w:ascii="宋体" w:hAnsi="宋体"/>
          <w:color w:val="auto"/>
          <w:sz w:val="24"/>
          <w:szCs w:val="24"/>
          <w:highlight w:val="none"/>
        </w:rPr>
        <w:t>响应</w:t>
      </w:r>
      <w:r>
        <w:rPr>
          <w:rFonts w:ascii="宋体" w:hAnsi="宋体"/>
          <w:color w:val="auto"/>
          <w:sz w:val="24"/>
          <w:szCs w:val="24"/>
          <w:highlight w:val="none"/>
        </w:rPr>
        <w:t>文件</w:t>
      </w:r>
      <w:r>
        <w:rPr>
          <w:rFonts w:hint="eastAsia" w:ascii="宋体" w:hAnsi="宋体"/>
          <w:color w:val="auto"/>
          <w:sz w:val="24"/>
          <w:szCs w:val="24"/>
          <w:highlight w:val="none"/>
        </w:rPr>
        <w:t>（后缀名为zip，不得超过150M）并在</w:t>
      </w:r>
      <w:r>
        <w:rPr>
          <w:rFonts w:hint="eastAsia" w:ascii="宋体" w:hAnsi="宋体"/>
          <w:bCs/>
          <w:color w:val="auto"/>
          <w:sz w:val="24"/>
          <w:szCs w:val="24"/>
          <w:highlight w:val="none"/>
        </w:rPr>
        <w:t>“苏采云”系统</w:t>
      </w:r>
      <w:r>
        <w:rPr>
          <w:rFonts w:ascii="宋体" w:hAnsi="宋体"/>
          <w:color w:val="auto"/>
          <w:sz w:val="24"/>
          <w:szCs w:val="24"/>
          <w:highlight w:val="none"/>
        </w:rPr>
        <w:t>上传该加密的</w:t>
      </w:r>
      <w:r>
        <w:rPr>
          <w:rFonts w:hint="eastAsia" w:ascii="宋体" w:hAnsi="宋体"/>
          <w:color w:val="auto"/>
          <w:sz w:val="24"/>
          <w:szCs w:val="24"/>
          <w:highlight w:val="none"/>
        </w:rPr>
        <w:t>响应</w:t>
      </w:r>
      <w:r>
        <w:rPr>
          <w:rFonts w:ascii="宋体" w:hAnsi="宋体"/>
          <w:color w:val="auto"/>
          <w:sz w:val="24"/>
          <w:szCs w:val="24"/>
          <w:highlight w:val="none"/>
        </w:rPr>
        <w:t>文件，对</w:t>
      </w:r>
      <w:r>
        <w:rPr>
          <w:rFonts w:hint="eastAsia" w:ascii="宋体" w:hAnsi="宋体"/>
          <w:color w:val="auto"/>
          <w:sz w:val="24"/>
          <w:szCs w:val="24"/>
          <w:highlight w:val="none"/>
        </w:rPr>
        <w:t>征集</w:t>
      </w:r>
      <w:r>
        <w:rPr>
          <w:rFonts w:ascii="宋体" w:hAnsi="宋体"/>
          <w:color w:val="auto"/>
          <w:sz w:val="24"/>
          <w:szCs w:val="24"/>
          <w:highlight w:val="none"/>
        </w:rPr>
        <w:t>文件各项内容做出实质性响应，否则其</w:t>
      </w:r>
      <w:r>
        <w:rPr>
          <w:rFonts w:hint="eastAsia" w:ascii="宋体" w:hAnsi="宋体"/>
          <w:color w:val="auto"/>
          <w:sz w:val="24"/>
          <w:szCs w:val="24"/>
          <w:highlight w:val="none"/>
        </w:rPr>
        <w:t>响应</w:t>
      </w:r>
      <w:r>
        <w:rPr>
          <w:rFonts w:ascii="宋体" w:hAnsi="宋体"/>
          <w:color w:val="auto"/>
          <w:sz w:val="24"/>
          <w:szCs w:val="24"/>
          <w:highlight w:val="none"/>
        </w:rPr>
        <w:t>文件无效。</w:t>
      </w:r>
    </w:p>
    <w:p w14:paraId="26C59C2E">
      <w:pPr>
        <w:widowControl/>
        <w:shd w:val="clear" w:color="auto" w:fill="FFFFFF"/>
        <w:spacing w:line="360" w:lineRule="auto"/>
        <w:ind w:firstLine="480"/>
        <w:rPr>
          <w:rFonts w:ascii="宋体" w:hAnsi="宋体"/>
          <w:color w:val="auto"/>
          <w:sz w:val="24"/>
          <w:szCs w:val="24"/>
          <w:highlight w:val="none"/>
        </w:rPr>
      </w:pPr>
      <w:r>
        <w:rPr>
          <w:rFonts w:ascii="宋体" w:hAnsi="宋体"/>
          <w:color w:val="auto"/>
          <w:sz w:val="24"/>
          <w:szCs w:val="24"/>
          <w:highlight w:val="none"/>
        </w:rPr>
        <w:t>注，因</w:t>
      </w:r>
      <w:r>
        <w:rPr>
          <w:rFonts w:hint="eastAsia" w:ascii="宋体" w:hAnsi="宋体"/>
          <w:bCs/>
          <w:color w:val="auto"/>
          <w:sz w:val="24"/>
          <w:szCs w:val="24"/>
          <w:highlight w:val="none"/>
        </w:rPr>
        <w:t>“苏采云”系统原因，系统中如有针对本项目所称投标文件即指响应文件。</w:t>
      </w:r>
    </w:p>
    <w:p w14:paraId="1CE8F584">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（三）有关本次采购的事项若存在变动或修改，敬请及时关注“江苏政府采购网”发布的更正公告。如潜在供应商未按上述要求操作，由此所产生的损失及风险由潜在供应商自行承担。</w:t>
      </w:r>
    </w:p>
    <w:p w14:paraId="4C36CE33">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（四）本次采购不收取征集活动保证金。</w:t>
      </w:r>
    </w:p>
    <w:p w14:paraId="223E6E88">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p>
    <w:bookmarkEnd w:id="54"/>
    <w:bookmarkEnd w:id="55"/>
    <w:p w14:paraId="661DC9AD">
      <w:pPr>
        <w:pStyle w:val="5"/>
        <w:keepNext w:val="0"/>
        <w:keepLines w:val="0"/>
        <w:spacing w:before="0" w:after="0" w:line="360" w:lineRule="auto"/>
        <w:ind w:firstLine="452"/>
        <w:rPr>
          <w:color w:val="auto"/>
          <w:sz w:val="30"/>
          <w:szCs w:val="30"/>
          <w:highlight w:val="none"/>
          <w:lang w:eastAsia="zh-CN"/>
        </w:rPr>
      </w:pPr>
      <w:r>
        <w:rPr>
          <w:rFonts w:hint="eastAsia"/>
          <w:color w:val="auto"/>
          <w:sz w:val="30"/>
          <w:szCs w:val="30"/>
          <w:highlight w:val="none"/>
          <w:lang w:eastAsia="zh-CN"/>
        </w:rPr>
        <w:t>九、征集人信息</w:t>
      </w:r>
    </w:p>
    <w:p w14:paraId="0CB78818">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1.征集人名称：无锡市滨湖区残疾人联合会</w:t>
      </w:r>
    </w:p>
    <w:p w14:paraId="437B7CA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2.征集人地址：</w:t>
      </w:r>
      <w:r>
        <w:rPr>
          <w:rFonts w:hint="eastAsia" w:ascii="宋体" w:hAnsi="宋体"/>
          <w:color w:val="auto"/>
          <w:sz w:val="24"/>
          <w:szCs w:val="24"/>
          <w:highlight w:val="none"/>
          <w:lang w:val="zh-CN"/>
        </w:rPr>
        <w:t>无锡市滨湖区梁溪路775号</w:t>
      </w:r>
    </w:p>
    <w:p w14:paraId="3BB790A7">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3.征集人联系人：陈小红</w:t>
      </w:r>
    </w:p>
    <w:p w14:paraId="1940D065">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4.征集人联系方式：</w:t>
      </w:r>
      <w:r>
        <w:rPr>
          <w:rFonts w:ascii="宋体" w:hAnsi="宋体"/>
          <w:color w:val="auto"/>
          <w:sz w:val="24"/>
          <w:szCs w:val="24"/>
          <w:highlight w:val="none"/>
        </w:rPr>
        <w:t>0510-85806581</w:t>
      </w:r>
    </w:p>
    <w:p w14:paraId="41997EB6">
      <w:pPr>
        <w:pStyle w:val="5"/>
        <w:keepNext w:val="0"/>
        <w:keepLines w:val="0"/>
        <w:spacing w:before="0" w:after="0" w:line="360" w:lineRule="auto"/>
        <w:ind w:firstLine="452"/>
        <w:rPr>
          <w:color w:val="auto"/>
          <w:sz w:val="30"/>
          <w:szCs w:val="30"/>
          <w:highlight w:val="none"/>
          <w:lang w:eastAsia="zh-CN"/>
        </w:rPr>
      </w:pPr>
      <w:r>
        <w:rPr>
          <w:rFonts w:hint="eastAsia"/>
          <w:color w:val="auto"/>
          <w:sz w:val="30"/>
          <w:szCs w:val="30"/>
          <w:highlight w:val="none"/>
          <w:lang w:eastAsia="zh-CN"/>
        </w:rPr>
        <w:t>十、采购代理机构信息</w:t>
      </w:r>
    </w:p>
    <w:p w14:paraId="44B4FFE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1.名称：江苏苏咨工程咨询有限责任公司</w:t>
      </w:r>
    </w:p>
    <w:p w14:paraId="6761434F">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2.地址：建筑路599号（国家工业设计园4栋706）</w:t>
      </w:r>
    </w:p>
    <w:p w14:paraId="7AF5E3D4">
      <w:pPr>
        <w:tabs>
          <w:tab w:val="left" w:pos="900"/>
        </w:tabs>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3.</w:t>
      </w:r>
      <w:r>
        <w:rPr>
          <w:rFonts w:hint="eastAsia" w:ascii="宋体" w:hAnsi="宋体"/>
          <w:color w:val="auto"/>
          <w:sz w:val="24"/>
          <w:szCs w:val="24"/>
          <w:highlight w:val="none"/>
        </w:rPr>
        <w:t>联系人：</w:t>
      </w:r>
      <w:r>
        <w:rPr>
          <w:rFonts w:hint="eastAsia" w:ascii="宋体" w:hAnsi="宋体"/>
          <w:bCs/>
          <w:color w:val="auto"/>
          <w:sz w:val="24"/>
          <w:szCs w:val="24"/>
          <w:highlight w:val="none"/>
        </w:rPr>
        <w:t>吴虹</w:t>
      </w:r>
    </w:p>
    <w:p w14:paraId="2E383470">
      <w:pPr>
        <w:tabs>
          <w:tab w:val="left" w:pos="900"/>
        </w:tabs>
        <w:spacing w:line="360" w:lineRule="auto"/>
        <w:ind w:firstLine="480"/>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4.</w:t>
      </w:r>
      <w:r>
        <w:rPr>
          <w:rFonts w:hint="eastAsia" w:ascii="宋体" w:hAnsi="宋体"/>
          <w:color w:val="auto"/>
          <w:sz w:val="24"/>
          <w:szCs w:val="24"/>
          <w:highlight w:val="none"/>
        </w:rPr>
        <w:t>联系方式</w:t>
      </w:r>
      <w:r>
        <w:rPr>
          <w:rFonts w:hint="eastAsia" w:ascii="宋体" w:hAnsi="宋体"/>
          <w:bCs/>
          <w:color w:val="auto"/>
          <w:sz w:val="24"/>
          <w:szCs w:val="24"/>
          <w:highlight w:val="none"/>
        </w:rPr>
        <w:t>：13665189291</w:t>
      </w:r>
    </w:p>
    <w:p w14:paraId="2CC44CEC">
      <w:pPr>
        <w:jc w:val="center"/>
        <w:outlineLvl w:val="0"/>
        <w:rPr>
          <w:rFonts w:ascii="黑体" w:hAnsi="黑体" w:eastAsia="黑体"/>
          <w:color w:val="auto"/>
          <w:sz w:val="36"/>
          <w:szCs w:val="36"/>
          <w:highlight w:val="none"/>
        </w:rPr>
      </w:pPr>
      <w:r>
        <w:rPr>
          <w:rFonts w:hint="eastAsia" w:ascii="黑体" w:hAnsi="黑体" w:eastAsia="黑体"/>
          <w:color w:val="auto"/>
          <w:sz w:val="36"/>
          <w:szCs w:val="36"/>
          <w:highlight w:val="none"/>
        </w:rPr>
        <w:br w:type="page" w:clear="all"/>
      </w:r>
      <w:bookmarkStart w:id="57" w:name="_Toc120614211"/>
      <w:r>
        <w:rPr>
          <w:rFonts w:hint="eastAsia" w:ascii="黑体" w:hAnsi="黑体" w:eastAsia="黑体"/>
          <w:color w:val="auto"/>
          <w:sz w:val="36"/>
          <w:szCs w:val="36"/>
          <w:highlight w:val="none"/>
        </w:rPr>
        <w:t xml:space="preserve">第二章  </w:t>
      </w:r>
      <w:bookmarkEnd w:id="2"/>
      <w:bookmarkEnd w:id="3"/>
      <w:bookmarkEnd w:id="4"/>
      <w:bookmarkEnd w:id="5"/>
      <w:bookmarkEnd w:id="6"/>
      <w:bookmarkEnd w:id="57"/>
      <w:bookmarkStart w:id="58" w:name="_Toc16938518"/>
      <w:bookmarkStart w:id="59" w:name="_Toc513029202"/>
      <w:bookmarkStart w:id="60" w:name="_Toc120614213"/>
      <w:bookmarkStart w:id="61" w:name="_Toc20823274"/>
      <w:r>
        <w:rPr>
          <w:rFonts w:hint="eastAsia" w:ascii="黑体" w:hAnsi="黑体" w:eastAsia="黑体"/>
          <w:color w:val="auto"/>
          <w:sz w:val="36"/>
          <w:szCs w:val="36"/>
          <w:highlight w:val="none"/>
        </w:rPr>
        <w:t>供应商须知</w:t>
      </w:r>
      <w:bookmarkEnd w:id="58"/>
      <w:bookmarkEnd w:id="59"/>
      <w:bookmarkEnd w:id="60"/>
      <w:bookmarkEnd w:id="61"/>
    </w:p>
    <w:p w14:paraId="1CC595C3">
      <w:pPr>
        <w:pStyle w:val="5"/>
        <w:keepNext w:val="0"/>
        <w:keepLines w:val="0"/>
        <w:spacing w:before="0" w:after="0" w:line="500" w:lineRule="exact"/>
        <w:ind w:firstLine="452"/>
        <w:rPr>
          <w:color w:val="auto"/>
          <w:sz w:val="30"/>
          <w:szCs w:val="30"/>
          <w:highlight w:val="none"/>
          <w:lang w:eastAsia="zh-CN"/>
        </w:rPr>
      </w:pPr>
      <w:bookmarkStart w:id="62" w:name="_Toc120614214"/>
      <w:bookmarkStart w:id="63" w:name="_Toc20823275"/>
      <w:bookmarkStart w:id="64" w:name="_Toc513029203"/>
      <w:bookmarkStart w:id="65" w:name="_Toc16938519"/>
      <w:r>
        <w:rPr>
          <w:rFonts w:hint="eastAsia"/>
          <w:color w:val="auto"/>
          <w:sz w:val="30"/>
          <w:szCs w:val="30"/>
          <w:highlight w:val="none"/>
          <w:lang w:eastAsia="zh-CN"/>
        </w:rPr>
        <w:t>一、总则</w:t>
      </w:r>
      <w:bookmarkEnd w:id="62"/>
      <w:bookmarkEnd w:id="63"/>
      <w:bookmarkEnd w:id="64"/>
      <w:bookmarkEnd w:id="65"/>
    </w:p>
    <w:p w14:paraId="282C80FC">
      <w:pPr>
        <w:pStyle w:val="6"/>
        <w:keepNext w:val="0"/>
        <w:keepLines w:val="0"/>
        <w:spacing w:before="0" w:after="0" w:line="500" w:lineRule="exact"/>
        <w:ind w:firstLine="422"/>
        <w:rPr>
          <w:rFonts w:ascii="宋体" w:hAnsi="宋体" w:eastAsia="宋体"/>
          <w:bCs w:val="0"/>
          <w:color w:val="auto"/>
          <w:highlight w:val="none"/>
          <w:lang w:eastAsia="zh-CN"/>
        </w:rPr>
      </w:pPr>
      <w:bookmarkStart w:id="66" w:name="_Hlt16619475"/>
      <w:bookmarkEnd w:id="66"/>
      <w:bookmarkStart w:id="67" w:name="_Toc16938520"/>
      <w:bookmarkStart w:id="68" w:name="_Toc513029204"/>
      <w:bookmarkStart w:id="69" w:name="_Toc20823276"/>
      <w:r>
        <w:rPr>
          <w:rFonts w:hint="eastAsia" w:ascii="宋体" w:hAnsi="宋体" w:eastAsia="宋体"/>
          <w:bCs w:val="0"/>
          <w:color w:val="auto"/>
          <w:highlight w:val="none"/>
          <w:lang w:eastAsia="zh-CN"/>
        </w:rPr>
        <w:t>1.采购方式</w:t>
      </w:r>
      <w:bookmarkEnd w:id="67"/>
      <w:bookmarkEnd w:id="68"/>
      <w:bookmarkEnd w:id="69"/>
    </w:p>
    <w:p w14:paraId="4B287EF0">
      <w:pPr>
        <w:spacing w:line="500" w:lineRule="exact"/>
        <w:ind w:firstLine="480"/>
        <w:rPr>
          <w:rFonts w:ascii="宋体" w:hAnsi="宋体"/>
          <w:color w:val="auto"/>
          <w:sz w:val="24"/>
          <w:highlight w:val="none"/>
        </w:rPr>
      </w:pPr>
      <w:r>
        <w:rPr>
          <w:rFonts w:hint="eastAsia" w:ascii="宋体" w:hAnsi="宋体"/>
          <w:color w:val="auto"/>
          <w:sz w:val="24"/>
          <w:highlight w:val="none"/>
        </w:rPr>
        <w:t>1.1本次政府采购活动采取</w:t>
      </w:r>
      <w:bookmarkStart w:id="70" w:name="OLE_LINK52"/>
      <w:r>
        <w:rPr>
          <w:rFonts w:hint="eastAsia" w:ascii="宋体" w:hAnsi="宋体"/>
          <w:color w:val="auto"/>
          <w:sz w:val="24"/>
          <w:highlight w:val="none"/>
        </w:rPr>
        <w:t>开放式框架协议采购方式，</w:t>
      </w:r>
      <w:bookmarkEnd w:id="70"/>
      <w:r>
        <w:rPr>
          <w:rFonts w:hint="eastAsia" w:ascii="宋体" w:hAnsi="宋体"/>
          <w:color w:val="auto"/>
          <w:sz w:val="24"/>
          <w:highlight w:val="none"/>
        </w:rPr>
        <w:t>本征集文件仅适用于征集公告中所述项目。</w:t>
      </w:r>
    </w:p>
    <w:p w14:paraId="2CA262C7">
      <w:pPr>
        <w:pStyle w:val="6"/>
        <w:keepNext w:val="0"/>
        <w:keepLines w:val="0"/>
        <w:spacing w:before="0" w:after="0" w:line="500" w:lineRule="exact"/>
        <w:ind w:firstLine="422"/>
        <w:rPr>
          <w:rFonts w:ascii="宋体" w:hAnsi="宋体" w:eastAsia="宋体"/>
          <w:bCs w:val="0"/>
          <w:color w:val="auto"/>
          <w:highlight w:val="none"/>
          <w:lang w:eastAsia="zh-CN"/>
        </w:rPr>
      </w:pPr>
      <w:bookmarkStart w:id="71" w:name="_Toc513029205"/>
      <w:bookmarkStart w:id="72" w:name="_Toc20823277"/>
      <w:bookmarkStart w:id="73" w:name="_Toc16938521"/>
      <w:r>
        <w:rPr>
          <w:rFonts w:hint="eastAsia" w:ascii="宋体" w:hAnsi="宋体" w:eastAsia="宋体"/>
          <w:bCs w:val="0"/>
          <w:color w:val="auto"/>
          <w:highlight w:val="none"/>
          <w:lang w:eastAsia="zh-CN"/>
        </w:rPr>
        <w:t>2.</w:t>
      </w:r>
      <w:bookmarkEnd w:id="71"/>
      <w:bookmarkEnd w:id="72"/>
      <w:bookmarkEnd w:id="73"/>
      <w:r>
        <w:rPr>
          <w:rFonts w:hint="eastAsia" w:ascii="宋体" w:hAnsi="宋体" w:eastAsia="宋体"/>
          <w:bCs w:val="0"/>
          <w:color w:val="auto"/>
          <w:highlight w:val="none"/>
          <w:lang w:eastAsia="zh-CN"/>
        </w:rPr>
        <w:t>征集人、供应商、联合体</w:t>
      </w:r>
    </w:p>
    <w:p w14:paraId="13E6A53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2.1征集人：负责征集程序和订立框架协议的集中采购机构、主管预算单位及其委托的采购代理机构。本项目征集人及其相关信息详见第一章《参加征集活动的邀请》。</w:t>
      </w:r>
    </w:p>
    <w:p w14:paraId="7548F29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2.2供应商：是指响应及参加征集活动的法人、其他组织或者自然人。合格的供应商应满足征集公告中供应商的资格要求以及本文件实质性要求和条件的规定。</w:t>
      </w:r>
    </w:p>
    <w:p w14:paraId="7B4053A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协议项下的政府采购活动。若联合体中任一成员单位中途退出，则该联合体的响应无效。</w:t>
      </w:r>
    </w:p>
    <w:p w14:paraId="447910FE">
      <w:pPr>
        <w:pStyle w:val="6"/>
        <w:keepNext w:val="0"/>
        <w:keepLines w:val="0"/>
        <w:spacing w:before="0" w:after="0" w:line="500" w:lineRule="exact"/>
        <w:ind w:firstLine="422"/>
        <w:rPr>
          <w:rFonts w:ascii="宋体" w:hAnsi="宋体" w:eastAsia="宋体"/>
          <w:bCs w:val="0"/>
          <w:color w:val="auto"/>
          <w:highlight w:val="none"/>
          <w:lang w:eastAsia="zh-CN"/>
        </w:rPr>
      </w:pPr>
      <w:bookmarkStart w:id="74" w:name="_Toc513029206"/>
      <w:bookmarkStart w:id="75" w:name="_Toc16938522"/>
      <w:bookmarkStart w:id="76" w:name="_Toc20823278"/>
      <w:r>
        <w:rPr>
          <w:rFonts w:hint="eastAsia" w:ascii="宋体" w:hAnsi="宋体" w:eastAsia="宋体"/>
          <w:bCs w:val="0"/>
          <w:color w:val="auto"/>
          <w:highlight w:val="none"/>
          <w:lang w:eastAsia="zh-CN"/>
        </w:rPr>
        <w:t>3.适用法律</w:t>
      </w:r>
      <w:bookmarkEnd w:id="74"/>
      <w:bookmarkEnd w:id="75"/>
      <w:bookmarkEnd w:id="76"/>
    </w:p>
    <w:p w14:paraId="3AADF55B">
      <w:pPr>
        <w:spacing w:line="500" w:lineRule="exact"/>
        <w:ind w:firstLine="480"/>
        <w:rPr>
          <w:rFonts w:ascii="宋体" w:hAnsi="宋体"/>
          <w:color w:val="auto"/>
          <w:sz w:val="24"/>
          <w:highlight w:val="none"/>
        </w:rPr>
      </w:pPr>
      <w:r>
        <w:rPr>
          <w:rFonts w:hint="eastAsia" w:ascii="宋体" w:hAnsi="宋体"/>
          <w:color w:val="auto"/>
          <w:sz w:val="24"/>
          <w:highlight w:val="none"/>
        </w:rPr>
        <w:t>3.1本次征集活动及由此产生的</w:t>
      </w:r>
      <w:r>
        <w:rPr>
          <w:rFonts w:hint="eastAsia" w:ascii="宋体" w:hAnsi="宋体"/>
          <w:color w:val="auto"/>
          <w:sz w:val="24"/>
          <w:szCs w:val="24"/>
          <w:highlight w:val="none"/>
        </w:rPr>
        <w:t>协议</w:t>
      </w:r>
      <w:r>
        <w:rPr>
          <w:rFonts w:hint="eastAsia" w:ascii="宋体" w:hAnsi="宋体"/>
          <w:color w:val="auto"/>
          <w:sz w:val="24"/>
          <w:highlight w:val="none"/>
        </w:rPr>
        <w:t>受中华人民共和国法律的制约和保护。</w:t>
      </w:r>
    </w:p>
    <w:p w14:paraId="25240650">
      <w:pPr>
        <w:pStyle w:val="6"/>
        <w:keepNext w:val="0"/>
        <w:keepLines w:val="0"/>
        <w:spacing w:before="0" w:after="0" w:line="500" w:lineRule="exact"/>
        <w:ind w:firstLine="422"/>
        <w:rPr>
          <w:rFonts w:ascii="宋体" w:hAnsi="宋体" w:eastAsia="宋体"/>
          <w:bCs w:val="0"/>
          <w:color w:val="auto"/>
          <w:highlight w:val="none"/>
          <w:lang w:eastAsia="zh-CN"/>
        </w:rPr>
      </w:pPr>
      <w:bookmarkStart w:id="77" w:name="_Toc462564067"/>
      <w:bookmarkStart w:id="78" w:name="_Toc20823279"/>
      <w:bookmarkStart w:id="79" w:name="_Toc513029207"/>
      <w:bookmarkStart w:id="80" w:name="_Toc16938523"/>
      <w:r>
        <w:rPr>
          <w:rFonts w:hint="eastAsia" w:ascii="宋体" w:hAnsi="宋体" w:eastAsia="宋体"/>
          <w:bCs w:val="0"/>
          <w:color w:val="auto"/>
          <w:highlight w:val="none"/>
          <w:lang w:eastAsia="zh-CN"/>
        </w:rPr>
        <w:t>4.征集活动费用</w:t>
      </w:r>
      <w:bookmarkEnd w:id="77"/>
      <w:bookmarkEnd w:id="78"/>
      <w:bookmarkEnd w:id="79"/>
      <w:bookmarkEnd w:id="80"/>
    </w:p>
    <w:p w14:paraId="619389D9">
      <w:pPr>
        <w:spacing w:line="500" w:lineRule="exact"/>
        <w:ind w:firstLine="480"/>
        <w:rPr>
          <w:rFonts w:ascii="宋体" w:hAnsi="宋体"/>
          <w:color w:val="auto"/>
          <w:sz w:val="24"/>
          <w:highlight w:val="none"/>
        </w:rPr>
      </w:pPr>
      <w:r>
        <w:rPr>
          <w:rFonts w:hint="eastAsia" w:ascii="宋体" w:hAnsi="宋体"/>
          <w:bCs/>
          <w:color w:val="auto"/>
          <w:sz w:val="24"/>
          <w:highlight w:val="none"/>
        </w:rPr>
        <w:t>4.1</w:t>
      </w:r>
      <w:r>
        <w:rPr>
          <w:rFonts w:hint="eastAsia" w:ascii="宋体" w:hAnsi="宋体"/>
          <w:color w:val="auto"/>
          <w:sz w:val="24"/>
          <w:highlight w:val="none"/>
        </w:rPr>
        <w:t>供应商应自行承担所有与参加本次征集活动有关的费用，无论征集过程中的做法和结果如何，征集人或江苏苏咨工程咨询有限责任公司在任何情况下均无义务和责任承担这些费用。</w:t>
      </w:r>
    </w:p>
    <w:p w14:paraId="0B319178">
      <w:pPr>
        <w:spacing w:line="500" w:lineRule="exact"/>
        <w:ind w:firstLine="480"/>
        <w:rPr>
          <w:rFonts w:ascii="宋体" w:hAnsi="宋体"/>
          <w:color w:val="auto"/>
          <w:sz w:val="24"/>
          <w:highlight w:val="none"/>
        </w:rPr>
      </w:pPr>
      <w:r>
        <w:rPr>
          <w:rFonts w:hint="eastAsia" w:ascii="宋体" w:hAnsi="宋体"/>
          <w:color w:val="auto"/>
          <w:sz w:val="24"/>
          <w:highlight w:val="none"/>
        </w:rPr>
        <w:t>4.2本次征集文件工本费免费。</w:t>
      </w:r>
    </w:p>
    <w:p w14:paraId="342205F6">
      <w:pPr>
        <w:spacing w:line="500" w:lineRule="exact"/>
        <w:ind w:firstLine="480"/>
        <w:rPr>
          <w:rFonts w:ascii="宋体" w:hAnsi="宋体"/>
          <w:color w:val="auto"/>
          <w:sz w:val="24"/>
          <w:highlight w:val="none"/>
        </w:rPr>
      </w:pPr>
      <w:r>
        <w:rPr>
          <w:rFonts w:hint="eastAsia" w:ascii="宋体" w:hAnsi="宋体"/>
          <w:color w:val="auto"/>
          <w:sz w:val="24"/>
          <w:highlight w:val="none"/>
        </w:rPr>
        <w:t>4.3本次征集</w:t>
      </w:r>
      <w:r>
        <w:rPr>
          <w:rFonts w:hint="eastAsia" w:ascii="宋体" w:hAnsi="宋体"/>
          <w:bCs/>
          <w:color w:val="auto"/>
          <w:sz w:val="24"/>
          <w:szCs w:val="24"/>
          <w:highlight w:val="none"/>
        </w:rPr>
        <w:t>活动，由中标供应商支付代理服务费，金额为每个供应商1500元/标段。</w:t>
      </w:r>
    </w:p>
    <w:p w14:paraId="3ACD7FF2">
      <w:pPr>
        <w:pStyle w:val="6"/>
        <w:keepNext w:val="0"/>
        <w:keepLines w:val="0"/>
        <w:spacing w:before="0" w:after="0" w:line="500" w:lineRule="exact"/>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5.征集文件的约束力</w:t>
      </w:r>
    </w:p>
    <w:p w14:paraId="7EDD6DC2">
      <w:pPr>
        <w:spacing w:line="500" w:lineRule="exact"/>
        <w:ind w:firstLine="480"/>
        <w:rPr>
          <w:rFonts w:ascii="宋体" w:hAnsi="宋体"/>
          <w:color w:val="auto"/>
          <w:sz w:val="24"/>
          <w:szCs w:val="24"/>
          <w:highlight w:val="none"/>
        </w:rPr>
      </w:pPr>
      <w:r>
        <w:rPr>
          <w:rFonts w:hint="eastAsia" w:ascii="宋体" w:hAnsi="宋体"/>
          <w:bCs/>
          <w:color w:val="auto"/>
          <w:sz w:val="24"/>
          <w:szCs w:val="24"/>
          <w:highlight w:val="none"/>
        </w:rPr>
        <w:t>5.1</w:t>
      </w:r>
      <w:r>
        <w:rPr>
          <w:rFonts w:hint="eastAsia" w:ascii="宋体" w:hAnsi="宋体"/>
          <w:color w:val="auto"/>
          <w:sz w:val="24"/>
          <w:szCs w:val="24"/>
          <w:highlight w:val="none"/>
        </w:rPr>
        <w:t>供应商一旦参加本项目征集活动，即被认为接受了本征集文件的规定和约束。</w:t>
      </w:r>
    </w:p>
    <w:p w14:paraId="16260EDD">
      <w:pPr>
        <w:pStyle w:val="5"/>
        <w:keepNext w:val="0"/>
        <w:keepLines w:val="0"/>
        <w:spacing w:before="0" w:after="0" w:line="500" w:lineRule="exact"/>
        <w:ind w:firstLine="452"/>
        <w:rPr>
          <w:color w:val="auto"/>
          <w:sz w:val="30"/>
          <w:szCs w:val="30"/>
          <w:highlight w:val="none"/>
        </w:rPr>
      </w:pPr>
      <w:bookmarkStart w:id="81" w:name="_Toc20823281"/>
      <w:bookmarkStart w:id="82" w:name="_Toc16938525"/>
      <w:bookmarkStart w:id="83" w:name="_Toc513029209"/>
      <w:bookmarkStart w:id="84" w:name="_Toc120614215"/>
      <w:r>
        <w:rPr>
          <w:rFonts w:hint="eastAsia"/>
          <w:color w:val="auto"/>
          <w:sz w:val="30"/>
          <w:szCs w:val="30"/>
          <w:highlight w:val="none"/>
        </w:rPr>
        <w:t>二、</w:t>
      </w:r>
      <w:r>
        <w:rPr>
          <w:rFonts w:hint="eastAsia"/>
          <w:color w:val="auto"/>
          <w:sz w:val="30"/>
          <w:szCs w:val="30"/>
          <w:highlight w:val="none"/>
          <w:lang w:eastAsia="zh-CN"/>
        </w:rPr>
        <w:t>征集</w:t>
      </w:r>
      <w:r>
        <w:rPr>
          <w:rFonts w:hint="eastAsia"/>
          <w:color w:val="auto"/>
          <w:sz w:val="30"/>
          <w:szCs w:val="30"/>
          <w:highlight w:val="none"/>
        </w:rPr>
        <w:t>文件</w:t>
      </w:r>
      <w:bookmarkEnd w:id="81"/>
      <w:bookmarkEnd w:id="82"/>
      <w:bookmarkEnd w:id="83"/>
      <w:bookmarkEnd w:id="84"/>
    </w:p>
    <w:p w14:paraId="7EE733A7">
      <w:pPr>
        <w:pStyle w:val="6"/>
        <w:keepNext w:val="0"/>
        <w:keepLines w:val="0"/>
        <w:spacing w:before="0" w:after="0" w:line="500" w:lineRule="exact"/>
        <w:ind w:firstLine="422"/>
        <w:rPr>
          <w:rFonts w:ascii="宋体" w:hAnsi="宋体" w:eastAsia="宋体"/>
          <w:bCs w:val="0"/>
          <w:color w:val="auto"/>
          <w:highlight w:val="none"/>
        </w:rPr>
      </w:pPr>
      <w:bookmarkStart w:id="85" w:name="_Toc16938526"/>
      <w:bookmarkStart w:id="86" w:name="_Toc20823282"/>
      <w:bookmarkStart w:id="87" w:name="_Toc513029210"/>
      <w:r>
        <w:rPr>
          <w:rFonts w:hint="eastAsia" w:ascii="宋体" w:hAnsi="宋体" w:eastAsia="宋体"/>
          <w:bCs w:val="0"/>
          <w:color w:val="auto"/>
          <w:highlight w:val="none"/>
        </w:rPr>
        <w:t>6.</w:t>
      </w:r>
      <w:r>
        <w:rPr>
          <w:rFonts w:hint="eastAsia" w:ascii="宋体" w:hAnsi="宋体" w:eastAsia="宋体"/>
          <w:bCs w:val="0"/>
          <w:color w:val="auto"/>
          <w:highlight w:val="none"/>
          <w:lang w:eastAsia="zh-CN"/>
        </w:rPr>
        <w:t>征集</w:t>
      </w:r>
      <w:r>
        <w:rPr>
          <w:rFonts w:hint="eastAsia" w:ascii="宋体" w:hAnsi="宋体" w:eastAsia="宋体"/>
          <w:bCs w:val="0"/>
          <w:color w:val="auto"/>
          <w:highlight w:val="none"/>
        </w:rPr>
        <w:t>文件构成</w:t>
      </w:r>
      <w:bookmarkEnd w:id="85"/>
      <w:bookmarkEnd w:id="86"/>
      <w:bookmarkEnd w:id="87"/>
    </w:p>
    <w:p w14:paraId="4A8D9639">
      <w:pPr>
        <w:spacing w:line="500" w:lineRule="exact"/>
        <w:ind w:firstLine="480"/>
        <w:rPr>
          <w:rFonts w:ascii="宋体" w:hAnsi="宋体"/>
          <w:color w:val="auto"/>
          <w:sz w:val="24"/>
          <w:highlight w:val="none"/>
        </w:rPr>
      </w:pPr>
      <w:r>
        <w:rPr>
          <w:rFonts w:hint="eastAsia" w:ascii="宋体" w:hAnsi="宋体"/>
          <w:bCs/>
          <w:color w:val="auto"/>
          <w:sz w:val="24"/>
          <w:highlight w:val="none"/>
        </w:rPr>
        <w:t>6.1</w:t>
      </w:r>
      <w:r>
        <w:rPr>
          <w:rFonts w:hint="eastAsia" w:ascii="宋体" w:hAnsi="宋体"/>
          <w:color w:val="auto"/>
          <w:sz w:val="24"/>
          <w:highlight w:val="none"/>
        </w:rPr>
        <w:t>征集文件由以下部分组成：</w:t>
      </w:r>
    </w:p>
    <w:p w14:paraId="6E4C4D7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（1）参加征集活动的邀请</w:t>
      </w:r>
    </w:p>
    <w:p w14:paraId="2C5FB59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（2）供应商须知</w:t>
      </w:r>
    </w:p>
    <w:p w14:paraId="41ED9930">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（3）框架协议文本和采购合同文本</w:t>
      </w:r>
    </w:p>
    <w:p w14:paraId="2634157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（4）采购需求</w:t>
      </w:r>
    </w:p>
    <w:p w14:paraId="268CB64C">
      <w:pPr>
        <w:spacing w:line="500" w:lineRule="exact"/>
        <w:ind w:firstLine="480"/>
        <w:rPr>
          <w:color w:val="auto"/>
          <w:sz w:val="24"/>
          <w:szCs w:val="24"/>
          <w:highlight w:val="none"/>
        </w:rPr>
      </w:pPr>
      <w:r>
        <w:rPr>
          <w:rFonts w:hint="eastAsia" w:ascii="宋体" w:hAnsi="宋体"/>
          <w:color w:val="auto"/>
          <w:sz w:val="24"/>
          <w:szCs w:val="24"/>
          <w:highlight w:val="none"/>
        </w:rPr>
        <w:t>（5）</w:t>
      </w:r>
      <w:r>
        <w:rPr>
          <w:rFonts w:hint="eastAsia" w:hAnsi="宋体"/>
          <w:color w:val="auto"/>
          <w:sz w:val="24"/>
          <w:szCs w:val="24"/>
          <w:highlight w:val="none"/>
        </w:rPr>
        <w:t>评审方法与评审标准</w:t>
      </w:r>
    </w:p>
    <w:p w14:paraId="73C862A1">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（6）响应文件内容与格式</w:t>
      </w:r>
    </w:p>
    <w:p w14:paraId="633A76CA">
      <w:pPr>
        <w:spacing w:line="500" w:lineRule="exact"/>
        <w:ind w:firstLine="480"/>
        <w:rPr>
          <w:rFonts w:ascii="宋体" w:hAnsi="宋体"/>
          <w:color w:val="auto"/>
          <w:sz w:val="24"/>
          <w:highlight w:val="none"/>
        </w:rPr>
      </w:pPr>
      <w:r>
        <w:rPr>
          <w:rFonts w:hint="eastAsia" w:ascii="宋体" w:hAnsi="宋体"/>
          <w:color w:val="auto"/>
          <w:sz w:val="24"/>
          <w:highlight w:val="none"/>
        </w:rPr>
        <w:t>请仔细检查征集文件是否齐全，如有缺漏请立即与征集人联系解决。</w:t>
      </w:r>
    </w:p>
    <w:p w14:paraId="3FE8FD6C">
      <w:pPr>
        <w:spacing w:line="500" w:lineRule="exact"/>
        <w:ind w:firstLine="480"/>
        <w:rPr>
          <w:rFonts w:ascii="宋体" w:hAnsi="宋体"/>
          <w:color w:val="auto"/>
          <w:sz w:val="24"/>
          <w:highlight w:val="none"/>
        </w:rPr>
      </w:pPr>
      <w:r>
        <w:rPr>
          <w:rFonts w:hint="eastAsia" w:ascii="宋体" w:hAnsi="宋体"/>
          <w:color w:val="auto"/>
          <w:sz w:val="24"/>
          <w:highlight w:val="none"/>
        </w:rPr>
        <w:t>6.2供应商应认真阅读征集文件中所有的事项、格式、条款和规范等要求。按征集文件要求和规定编制响应文件，并保证所提供的全部资料的真实性，以使其响应文件对征集文件作出实质性响应，否则其风险由供应商自行承担。</w:t>
      </w:r>
    </w:p>
    <w:p w14:paraId="24F850FB">
      <w:pPr>
        <w:pStyle w:val="6"/>
        <w:keepNext w:val="0"/>
        <w:keepLines w:val="0"/>
        <w:spacing w:before="0" w:after="0" w:line="500" w:lineRule="exact"/>
        <w:ind w:firstLine="422"/>
        <w:rPr>
          <w:rFonts w:ascii="宋体" w:hAnsi="宋体" w:eastAsia="宋体"/>
          <w:bCs w:val="0"/>
          <w:color w:val="auto"/>
          <w:highlight w:val="none"/>
          <w:lang w:eastAsia="zh-CN"/>
        </w:rPr>
      </w:pPr>
      <w:bookmarkStart w:id="88" w:name="_Toc513029211"/>
      <w:bookmarkStart w:id="89" w:name="_Toc20823283"/>
      <w:bookmarkStart w:id="90" w:name="_Toc16938527"/>
      <w:bookmarkStart w:id="91" w:name="_Toc462564070"/>
      <w:r>
        <w:rPr>
          <w:rFonts w:hint="eastAsia" w:ascii="宋体" w:hAnsi="宋体" w:eastAsia="宋体"/>
          <w:bCs w:val="0"/>
          <w:color w:val="auto"/>
          <w:highlight w:val="none"/>
          <w:lang w:eastAsia="zh-CN"/>
        </w:rPr>
        <w:t>7.征集文件的澄清</w:t>
      </w:r>
      <w:bookmarkEnd w:id="88"/>
      <w:bookmarkEnd w:id="89"/>
      <w:bookmarkEnd w:id="90"/>
      <w:bookmarkEnd w:id="91"/>
    </w:p>
    <w:p w14:paraId="4DA17552">
      <w:pPr>
        <w:spacing w:line="500" w:lineRule="exact"/>
        <w:ind w:firstLine="480"/>
        <w:rPr>
          <w:rFonts w:ascii="宋体" w:hAnsi="宋体"/>
          <w:bCs/>
          <w:color w:val="auto"/>
          <w:sz w:val="24"/>
          <w:highlight w:val="none"/>
        </w:rPr>
      </w:pPr>
      <w:r>
        <w:rPr>
          <w:rFonts w:hint="eastAsia" w:ascii="宋体" w:hAnsi="宋体"/>
          <w:bCs/>
          <w:color w:val="auto"/>
          <w:sz w:val="24"/>
          <w:highlight w:val="none"/>
        </w:rPr>
        <w:t>7.1供应商对征集文件如有疑问，可通过征集文件中载明的联系方式向征集人提出，征集人将在收到需澄清的问题后以适当形式予以答复，并在必要时将答复内容在征集文件发布媒体上以公告方式进行澄清。</w:t>
      </w:r>
    </w:p>
    <w:p w14:paraId="354CAF87">
      <w:pPr>
        <w:pStyle w:val="6"/>
        <w:keepNext w:val="0"/>
        <w:keepLines w:val="0"/>
        <w:spacing w:before="0" w:after="0" w:line="500" w:lineRule="exact"/>
        <w:ind w:firstLine="422"/>
        <w:rPr>
          <w:rFonts w:ascii="宋体" w:hAnsi="宋体" w:eastAsia="宋体"/>
          <w:bCs w:val="0"/>
          <w:color w:val="auto"/>
          <w:highlight w:val="none"/>
          <w:lang w:eastAsia="zh-CN"/>
        </w:rPr>
      </w:pPr>
      <w:bookmarkStart w:id="92" w:name="_Toc16938528"/>
      <w:bookmarkStart w:id="93" w:name="_Toc513029212"/>
      <w:bookmarkStart w:id="94" w:name="_Toc20823284"/>
      <w:bookmarkStart w:id="95" w:name="_Toc462564071"/>
      <w:r>
        <w:rPr>
          <w:rFonts w:hint="eastAsia" w:ascii="宋体" w:hAnsi="宋体" w:eastAsia="宋体"/>
          <w:bCs w:val="0"/>
          <w:color w:val="auto"/>
          <w:highlight w:val="none"/>
          <w:lang w:eastAsia="zh-CN"/>
        </w:rPr>
        <w:t>8.征集文件的修改</w:t>
      </w:r>
      <w:bookmarkEnd w:id="92"/>
      <w:bookmarkEnd w:id="93"/>
      <w:bookmarkEnd w:id="94"/>
      <w:bookmarkEnd w:id="95"/>
    </w:p>
    <w:p w14:paraId="5D8548F7">
      <w:pPr>
        <w:spacing w:line="500" w:lineRule="exact"/>
        <w:ind w:firstLine="480"/>
        <w:rPr>
          <w:rFonts w:ascii="宋体" w:hAnsi="宋体"/>
          <w:color w:val="auto"/>
          <w:sz w:val="24"/>
          <w:highlight w:val="none"/>
        </w:rPr>
      </w:pPr>
      <w:r>
        <w:rPr>
          <w:rFonts w:hint="eastAsia" w:ascii="宋体" w:hAnsi="宋体"/>
          <w:color w:val="auto"/>
          <w:sz w:val="24"/>
          <w:highlight w:val="none"/>
        </w:rPr>
        <w:t>8.1在响应文件提交截止时间前，征集人可以对征集文件进行澄清和修改, 澄清或者修改的内容作为征集文件的组成部分。澄清或者修改的内容可能影响响应文件编制的，将在提交首次响应文件截止时间至少15日前，在</w:t>
      </w:r>
      <w:r>
        <w:rPr>
          <w:rFonts w:hint="eastAsia" w:ascii="宋体" w:hAnsi="宋体"/>
          <w:bCs/>
          <w:color w:val="auto"/>
          <w:sz w:val="24"/>
          <w:szCs w:val="24"/>
          <w:highlight w:val="none"/>
        </w:rPr>
        <w:t>江苏政府采购网</w:t>
      </w:r>
      <w:r>
        <w:rPr>
          <w:rFonts w:hint="eastAsia" w:ascii="宋体" w:hAnsi="宋体"/>
          <w:color w:val="auto"/>
          <w:sz w:val="24"/>
          <w:highlight w:val="none"/>
        </w:rPr>
        <w:t>上发布更正公告形式通知所有获取征集文件的供应商,更正公告内容将作为征集文件的组成部分，并对供应商具有约束力。不足15日的，将顺延提交首次响应文件截止时间。发布更正公告形式通知的方式将视同书面通知。</w:t>
      </w:r>
      <w:r>
        <w:rPr>
          <w:rFonts w:hint="eastAsia" w:ascii="宋体" w:hAnsi="宋体"/>
          <w:bCs/>
          <w:color w:val="auto"/>
          <w:sz w:val="24"/>
          <w:szCs w:val="24"/>
          <w:highlight w:val="none"/>
        </w:rPr>
        <w:t>因供应商未尽注意义务，未及时更新上传响应文件</w:t>
      </w:r>
      <w:r>
        <w:rPr>
          <w:rFonts w:hint="eastAsia" w:ascii="宋体" w:hAnsi="宋体"/>
          <w:color w:val="auto"/>
          <w:sz w:val="24"/>
          <w:szCs w:val="24"/>
          <w:highlight w:val="none"/>
        </w:rPr>
        <w:t>或未</w:t>
      </w:r>
      <w:r>
        <w:rPr>
          <w:rFonts w:hint="eastAsia" w:ascii="宋体" w:hAnsi="宋体"/>
          <w:bCs/>
          <w:color w:val="auto"/>
          <w:sz w:val="24"/>
          <w:szCs w:val="24"/>
          <w:highlight w:val="none"/>
        </w:rPr>
        <w:t>全面地关注更正公告导致其提交的响应材料不符合本项目相关要求，而造成的损失及风险（包括但不限于未入围）由供应商自行承担。</w:t>
      </w:r>
    </w:p>
    <w:p w14:paraId="04FD5061">
      <w:pPr>
        <w:pStyle w:val="5"/>
        <w:keepNext w:val="0"/>
        <w:keepLines w:val="0"/>
        <w:spacing w:before="0" w:after="0" w:line="500" w:lineRule="exact"/>
        <w:ind w:firstLine="452"/>
        <w:rPr>
          <w:color w:val="auto"/>
          <w:sz w:val="30"/>
          <w:szCs w:val="30"/>
          <w:highlight w:val="none"/>
          <w:lang w:eastAsia="zh-CN"/>
        </w:rPr>
      </w:pPr>
      <w:bookmarkStart w:id="96" w:name="_Toc513029213"/>
      <w:bookmarkStart w:id="97" w:name="_Toc120614216"/>
      <w:bookmarkStart w:id="98" w:name="_Toc16938529"/>
      <w:bookmarkStart w:id="99" w:name="_Toc20823285"/>
      <w:bookmarkStart w:id="100" w:name="_Toc462564072"/>
      <w:r>
        <w:rPr>
          <w:rFonts w:hint="eastAsia"/>
          <w:color w:val="auto"/>
          <w:sz w:val="30"/>
          <w:szCs w:val="30"/>
          <w:highlight w:val="none"/>
          <w:lang w:eastAsia="zh-CN"/>
        </w:rPr>
        <w:t>三、响应文件的编制</w:t>
      </w:r>
      <w:bookmarkEnd w:id="96"/>
      <w:bookmarkEnd w:id="97"/>
      <w:bookmarkEnd w:id="98"/>
      <w:bookmarkEnd w:id="99"/>
      <w:bookmarkEnd w:id="100"/>
    </w:p>
    <w:p w14:paraId="4C146960">
      <w:pPr>
        <w:pStyle w:val="6"/>
        <w:keepNext w:val="0"/>
        <w:keepLines w:val="0"/>
        <w:spacing w:before="0" w:after="0" w:line="500" w:lineRule="exact"/>
        <w:ind w:firstLine="422"/>
        <w:rPr>
          <w:rFonts w:ascii="宋体" w:hAnsi="宋体" w:eastAsia="宋体"/>
          <w:bCs w:val="0"/>
          <w:color w:val="auto"/>
          <w:highlight w:val="none"/>
          <w:lang w:eastAsia="zh-CN"/>
        </w:rPr>
      </w:pPr>
      <w:bookmarkStart w:id="101" w:name="_Toc462564073"/>
      <w:bookmarkStart w:id="102" w:name="_Toc16938530"/>
      <w:bookmarkStart w:id="103" w:name="_Toc513029214"/>
      <w:bookmarkStart w:id="104" w:name="_Toc20823286"/>
      <w:r>
        <w:rPr>
          <w:rFonts w:hint="eastAsia" w:ascii="宋体" w:hAnsi="宋体" w:eastAsia="宋体"/>
          <w:bCs w:val="0"/>
          <w:color w:val="auto"/>
          <w:highlight w:val="none"/>
          <w:lang w:eastAsia="zh-CN"/>
        </w:rPr>
        <w:t>9.响应文件的语言及度量衡单位</w:t>
      </w:r>
      <w:bookmarkEnd w:id="101"/>
      <w:bookmarkEnd w:id="102"/>
      <w:bookmarkEnd w:id="103"/>
      <w:bookmarkEnd w:id="104"/>
    </w:p>
    <w:p w14:paraId="1D12E178">
      <w:pPr>
        <w:spacing w:line="500" w:lineRule="exact"/>
        <w:ind w:firstLine="480"/>
        <w:rPr>
          <w:rFonts w:ascii="宋体" w:hAnsi="宋体"/>
          <w:color w:val="auto"/>
          <w:sz w:val="24"/>
          <w:highlight w:val="none"/>
        </w:rPr>
      </w:pPr>
      <w:r>
        <w:rPr>
          <w:rFonts w:hint="eastAsia" w:ascii="宋体" w:hAnsi="宋体"/>
          <w:bCs/>
          <w:color w:val="auto"/>
          <w:sz w:val="24"/>
          <w:highlight w:val="none"/>
        </w:rPr>
        <w:t>9.1</w:t>
      </w:r>
      <w:r>
        <w:rPr>
          <w:rFonts w:hint="eastAsia" w:ascii="宋体" w:hAnsi="宋体"/>
          <w:color w:val="auto"/>
          <w:sz w:val="24"/>
          <w:highlight w:val="none"/>
        </w:rPr>
        <w:t>供应商提交的响应文件以及供应商与征集人就有关征集活动的所有来往通知、函件和文件均应使用</w:t>
      </w:r>
      <w:r>
        <w:rPr>
          <w:rFonts w:hint="eastAsia" w:ascii="宋体" w:hAnsi="宋体"/>
          <w:bCs/>
          <w:color w:val="auto"/>
          <w:sz w:val="24"/>
          <w:highlight w:val="none"/>
        </w:rPr>
        <w:t>简体中文</w:t>
      </w:r>
      <w:r>
        <w:rPr>
          <w:rFonts w:hint="eastAsia" w:ascii="宋体" w:hAnsi="宋体"/>
          <w:bCs/>
          <w:color w:val="auto"/>
          <w:sz w:val="24"/>
          <w:szCs w:val="24"/>
          <w:highlight w:val="none"/>
        </w:rPr>
        <w:t>（规格、型号辅助符号例外）</w:t>
      </w:r>
      <w:r>
        <w:rPr>
          <w:rFonts w:hint="eastAsia" w:ascii="宋体" w:hAnsi="宋体"/>
          <w:color w:val="auto"/>
          <w:sz w:val="24"/>
          <w:highlight w:val="none"/>
        </w:rPr>
        <w:t>。</w:t>
      </w:r>
    </w:p>
    <w:p w14:paraId="63D179F0">
      <w:pPr>
        <w:spacing w:line="500" w:lineRule="exact"/>
        <w:ind w:firstLine="480"/>
        <w:rPr>
          <w:rFonts w:ascii="宋体" w:hAnsi="宋体"/>
          <w:color w:val="auto"/>
          <w:sz w:val="24"/>
          <w:highlight w:val="none"/>
        </w:rPr>
      </w:pPr>
      <w:r>
        <w:rPr>
          <w:rFonts w:hint="eastAsia" w:ascii="宋体" w:hAnsi="宋体"/>
          <w:bCs/>
          <w:color w:val="auto"/>
          <w:sz w:val="24"/>
          <w:highlight w:val="none"/>
        </w:rPr>
        <w:t>9.2</w:t>
      </w:r>
      <w:r>
        <w:rPr>
          <w:rFonts w:hint="eastAsia" w:ascii="宋体" w:hAnsi="宋体"/>
          <w:color w:val="auto"/>
          <w:sz w:val="24"/>
          <w:highlight w:val="none"/>
        </w:rPr>
        <w:t>除技术性能另有规定外，响应文件所使用的度量衡单位，均须采用国家法定计量单位。</w:t>
      </w:r>
    </w:p>
    <w:p w14:paraId="6AECF6EA">
      <w:pPr>
        <w:pStyle w:val="6"/>
        <w:keepNext w:val="0"/>
        <w:keepLines w:val="0"/>
        <w:spacing w:before="0" w:after="0" w:line="500" w:lineRule="exact"/>
        <w:ind w:firstLine="422"/>
        <w:rPr>
          <w:rFonts w:ascii="宋体" w:hAnsi="宋体" w:eastAsia="宋体"/>
          <w:bCs w:val="0"/>
          <w:color w:val="auto"/>
          <w:highlight w:val="none"/>
          <w:lang w:eastAsia="zh-CN"/>
        </w:rPr>
      </w:pPr>
      <w:bookmarkStart w:id="105" w:name="_Toc16938531"/>
      <w:bookmarkStart w:id="106" w:name="_Toc462564074"/>
      <w:bookmarkStart w:id="107" w:name="_Toc513029215"/>
      <w:bookmarkStart w:id="108" w:name="_Toc20823287"/>
      <w:r>
        <w:rPr>
          <w:rFonts w:hint="eastAsia" w:ascii="宋体" w:hAnsi="宋体" w:eastAsia="宋体"/>
          <w:bCs w:val="0"/>
          <w:color w:val="auto"/>
          <w:highlight w:val="none"/>
          <w:lang w:eastAsia="zh-CN"/>
        </w:rPr>
        <w:t>10.响应文件构成</w:t>
      </w:r>
      <w:bookmarkEnd w:id="105"/>
      <w:bookmarkEnd w:id="106"/>
      <w:bookmarkEnd w:id="107"/>
      <w:bookmarkEnd w:id="108"/>
    </w:p>
    <w:p w14:paraId="465E2D89">
      <w:pPr>
        <w:spacing w:line="500" w:lineRule="exact"/>
        <w:ind w:firstLine="480"/>
        <w:rPr>
          <w:rFonts w:ascii="宋体" w:hAnsi="宋体"/>
          <w:color w:val="auto"/>
          <w:sz w:val="24"/>
          <w:highlight w:val="none"/>
        </w:rPr>
      </w:pPr>
      <w:r>
        <w:rPr>
          <w:rFonts w:hint="eastAsia" w:ascii="宋体" w:hAnsi="宋体"/>
          <w:color w:val="auto"/>
          <w:sz w:val="24"/>
          <w:highlight w:val="none"/>
        </w:rPr>
        <w:t>10.1供应商编写的响应文件应包括资格证明文件、符合性证明文件（响应函、承诺书、报价一览表、响应偏离表、《采购需求》中如有要求须提供的证明文件等）、其他证明文件（《评审方法与评审标准》中涉及的证明文件、其他供应商认为应附的文件）等内容。</w:t>
      </w:r>
    </w:p>
    <w:p w14:paraId="5A78B897">
      <w:pPr>
        <w:spacing w:line="500" w:lineRule="exact"/>
        <w:ind w:firstLine="480"/>
        <w:rPr>
          <w:rFonts w:ascii="宋体" w:hAnsi="宋体"/>
          <w:color w:val="auto"/>
          <w:sz w:val="24"/>
          <w:highlight w:val="none"/>
        </w:rPr>
      </w:pPr>
      <w:r>
        <w:rPr>
          <w:rFonts w:hint="eastAsia" w:ascii="宋体" w:hAnsi="宋体"/>
          <w:color w:val="auto"/>
          <w:sz w:val="24"/>
          <w:highlight w:val="none"/>
        </w:rPr>
        <w:t>10.2供应商应当提交的资格材料、所须提供的相关证明文件和要求以及响应文件的部分格式要求，详见第六章《响应文件内容与格式》。</w:t>
      </w:r>
    </w:p>
    <w:p w14:paraId="34F7F6BD">
      <w:pPr>
        <w:spacing w:line="500" w:lineRule="exact"/>
        <w:ind w:firstLine="480"/>
        <w:rPr>
          <w:rFonts w:ascii="宋体" w:hAnsi="宋体"/>
          <w:color w:val="auto"/>
          <w:sz w:val="24"/>
          <w:highlight w:val="none"/>
        </w:rPr>
      </w:pPr>
      <w:r>
        <w:rPr>
          <w:rFonts w:hint="eastAsia" w:ascii="宋体" w:hAnsi="宋体"/>
          <w:color w:val="auto"/>
          <w:sz w:val="24"/>
          <w:highlight w:val="none"/>
        </w:rPr>
        <w:t>10.3如标书制作工具中格式和内容与征集文件不一致的，请以征集文件为准。</w:t>
      </w:r>
    </w:p>
    <w:p w14:paraId="4CC37183">
      <w:pPr>
        <w:pStyle w:val="6"/>
        <w:keepNext w:val="0"/>
        <w:keepLines w:val="0"/>
        <w:spacing w:before="0" w:after="0" w:line="500" w:lineRule="exact"/>
        <w:ind w:firstLine="422"/>
        <w:rPr>
          <w:rFonts w:ascii="宋体" w:hAnsi="宋体" w:eastAsia="宋体"/>
          <w:bCs w:val="0"/>
          <w:color w:val="auto"/>
          <w:highlight w:val="none"/>
          <w:lang w:eastAsia="zh-CN"/>
        </w:rPr>
      </w:pPr>
      <w:bookmarkStart w:id="109" w:name="_Hlt26954838"/>
      <w:bookmarkEnd w:id="109"/>
      <w:bookmarkStart w:id="110" w:name="_Hlt26670360"/>
      <w:bookmarkEnd w:id="110"/>
      <w:bookmarkStart w:id="111" w:name="_Hlt26668975"/>
      <w:bookmarkEnd w:id="111"/>
      <w:bookmarkStart w:id="112" w:name="_Toc14577357"/>
      <w:bookmarkStart w:id="113" w:name="_Toc49090509"/>
      <w:bookmarkStart w:id="114" w:name="_Toc513029219"/>
      <w:bookmarkStart w:id="115" w:name="_Toc49090507"/>
      <w:bookmarkStart w:id="116" w:name="_Toc513029216"/>
      <w:bookmarkStart w:id="117" w:name="_Toc14577354"/>
      <w:r>
        <w:rPr>
          <w:rFonts w:hint="eastAsia" w:ascii="宋体" w:hAnsi="宋体" w:eastAsia="宋体"/>
          <w:bCs w:val="0"/>
          <w:color w:val="auto"/>
          <w:highlight w:val="none"/>
          <w:lang w:eastAsia="zh-CN"/>
        </w:rPr>
        <w:t>11.</w:t>
      </w:r>
      <w:bookmarkEnd w:id="112"/>
      <w:bookmarkEnd w:id="113"/>
      <w:bookmarkEnd w:id="114"/>
      <w:r>
        <w:rPr>
          <w:rFonts w:hint="eastAsia" w:ascii="宋体" w:hAnsi="宋体" w:eastAsia="宋体"/>
          <w:bCs w:val="0"/>
          <w:color w:val="auto"/>
          <w:highlight w:val="none"/>
          <w:lang w:eastAsia="zh-CN"/>
        </w:rPr>
        <w:t>证明响应标的符合征集文件规定的文件</w:t>
      </w:r>
    </w:p>
    <w:bookmarkEnd w:id="115"/>
    <w:bookmarkEnd w:id="116"/>
    <w:bookmarkEnd w:id="117"/>
    <w:p w14:paraId="77644DF6">
      <w:pPr>
        <w:spacing w:line="500" w:lineRule="exact"/>
        <w:ind w:firstLine="480"/>
        <w:rPr>
          <w:rFonts w:ascii="宋体" w:hAnsi="宋体"/>
          <w:bCs/>
          <w:color w:val="auto"/>
          <w:sz w:val="24"/>
          <w:highlight w:val="none"/>
        </w:rPr>
      </w:pPr>
      <w:bookmarkStart w:id="118" w:name="_Toc14577355"/>
      <w:bookmarkStart w:id="119" w:name="_Toc49090508"/>
      <w:r>
        <w:rPr>
          <w:rFonts w:hint="eastAsia" w:ascii="宋体" w:hAnsi="宋体"/>
          <w:bCs/>
          <w:color w:val="auto"/>
          <w:sz w:val="24"/>
          <w:highlight w:val="none"/>
        </w:rPr>
        <w:t>11.1供应商应按照法律、法规、规章和规范性文件以及征集文件要求提交证明文件，证明其响应标的符合征集文件规定。</w:t>
      </w:r>
    </w:p>
    <w:p w14:paraId="31FF451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11.2征集文件对证明文件无明确形式要求的，证明文件可以以文字资料、图纸和数据等形式提交。</w:t>
      </w:r>
    </w:p>
    <w:p w14:paraId="2BC5F78B">
      <w:pPr>
        <w:pStyle w:val="6"/>
        <w:keepNext w:val="0"/>
        <w:keepLines w:val="0"/>
        <w:spacing w:before="0" w:after="0" w:line="500" w:lineRule="exact"/>
        <w:ind w:firstLine="422"/>
        <w:rPr>
          <w:rFonts w:ascii="宋体" w:hAnsi="宋体" w:eastAsia="宋体"/>
          <w:bCs w:val="0"/>
          <w:color w:val="auto"/>
          <w:highlight w:val="none"/>
          <w:lang w:eastAsia="zh-CN"/>
        </w:rPr>
      </w:pPr>
      <w:bookmarkStart w:id="120" w:name="_Toc49090510"/>
      <w:bookmarkStart w:id="121" w:name="_Toc14577359"/>
      <w:r>
        <w:rPr>
          <w:rFonts w:hint="eastAsia" w:ascii="宋体" w:hAnsi="宋体" w:eastAsia="宋体"/>
          <w:bCs w:val="0"/>
          <w:color w:val="auto"/>
          <w:highlight w:val="none"/>
          <w:lang w:eastAsia="zh-CN"/>
        </w:rPr>
        <w:t>12.响应函、承诺书</w:t>
      </w:r>
    </w:p>
    <w:p w14:paraId="3AC5A50A">
      <w:pPr>
        <w:spacing w:line="500" w:lineRule="exact"/>
        <w:ind w:firstLine="480"/>
        <w:rPr>
          <w:rFonts w:ascii="宋体" w:hAnsi="宋体"/>
          <w:color w:val="auto"/>
          <w:sz w:val="24"/>
          <w:highlight w:val="none"/>
        </w:rPr>
      </w:pPr>
      <w:r>
        <w:rPr>
          <w:rFonts w:hint="eastAsia" w:ascii="宋体" w:hAnsi="宋体"/>
          <w:bCs/>
          <w:color w:val="auto"/>
          <w:sz w:val="24"/>
          <w:highlight w:val="none"/>
        </w:rPr>
        <w:t>12.1</w:t>
      </w:r>
      <w:r>
        <w:rPr>
          <w:rFonts w:hint="eastAsia" w:ascii="宋体" w:hAnsi="宋体"/>
          <w:color w:val="auto"/>
          <w:sz w:val="24"/>
          <w:highlight w:val="none"/>
        </w:rPr>
        <w:t>供应商应按照征集文件中提供的格式，完整、正确填写响应函、承诺书。</w:t>
      </w:r>
    </w:p>
    <w:bookmarkEnd w:id="120"/>
    <w:bookmarkEnd w:id="121"/>
    <w:p w14:paraId="5E66759A">
      <w:pPr>
        <w:pStyle w:val="6"/>
        <w:keepNext w:val="0"/>
        <w:keepLines w:val="0"/>
        <w:spacing w:before="0" w:after="0" w:line="500" w:lineRule="exact"/>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13.</w:t>
      </w:r>
      <w:bookmarkEnd w:id="118"/>
      <w:bookmarkEnd w:id="119"/>
      <w:r>
        <w:rPr>
          <w:rFonts w:hint="eastAsia" w:ascii="宋体" w:hAnsi="宋体" w:eastAsia="宋体"/>
          <w:bCs w:val="0"/>
          <w:color w:val="auto"/>
          <w:highlight w:val="none"/>
          <w:lang w:eastAsia="zh-CN"/>
        </w:rPr>
        <w:t>报价一览表</w:t>
      </w:r>
    </w:p>
    <w:p w14:paraId="32AB0078">
      <w:pPr>
        <w:spacing w:line="500" w:lineRule="exact"/>
        <w:ind w:firstLine="480"/>
        <w:rPr>
          <w:rFonts w:ascii="宋体" w:hAnsi="宋体"/>
          <w:bCs/>
          <w:color w:val="auto"/>
          <w:sz w:val="24"/>
          <w:highlight w:val="none"/>
        </w:rPr>
      </w:pPr>
      <w:r>
        <w:rPr>
          <w:rFonts w:hint="eastAsia" w:ascii="宋体" w:hAnsi="宋体"/>
          <w:bCs/>
          <w:color w:val="auto"/>
          <w:sz w:val="24"/>
          <w:highlight w:val="none"/>
        </w:rPr>
        <w:t>13.1</w:t>
      </w:r>
      <w:r>
        <w:rPr>
          <w:rFonts w:hint="eastAsia" w:ascii="宋体" w:hAnsi="宋体"/>
          <w:color w:val="auto"/>
          <w:sz w:val="24"/>
          <w:highlight w:val="none"/>
        </w:rPr>
        <w:t>供应商应按照征集文件规定格式填报</w:t>
      </w:r>
      <w:bookmarkStart w:id="122" w:name="_Hlt26670399"/>
      <w:bookmarkEnd w:id="122"/>
      <w:r>
        <w:rPr>
          <w:rFonts w:hint="eastAsia" w:ascii="宋体" w:hAnsi="宋体"/>
          <w:color w:val="auto"/>
          <w:sz w:val="24"/>
          <w:highlight w:val="none"/>
        </w:rPr>
        <w:t>报价一览表。</w:t>
      </w:r>
    </w:p>
    <w:p w14:paraId="3EC026D0">
      <w:pPr>
        <w:spacing w:line="500" w:lineRule="exact"/>
        <w:ind w:firstLine="480"/>
        <w:rPr>
          <w:rFonts w:ascii="宋体" w:hAnsi="宋体"/>
          <w:bCs/>
          <w:color w:val="auto"/>
          <w:sz w:val="24"/>
          <w:highlight w:val="none"/>
        </w:rPr>
      </w:pPr>
      <w:r>
        <w:rPr>
          <w:rFonts w:hint="eastAsia" w:ascii="宋体" w:hAnsi="宋体"/>
          <w:color w:val="auto"/>
          <w:sz w:val="24"/>
          <w:highlight w:val="none"/>
        </w:rPr>
        <w:t>13.2</w:t>
      </w:r>
      <w:r>
        <w:rPr>
          <w:rFonts w:hint="eastAsia" w:ascii="宋体" w:hAnsi="宋体"/>
          <w:bCs/>
          <w:color w:val="auto"/>
          <w:sz w:val="24"/>
          <w:highlight w:val="none"/>
        </w:rPr>
        <w:t>报价货币。响应文件中的单价和总价无特殊规定的采用人民币报价，以“元”为单位标注。</w:t>
      </w:r>
      <w:r>
        <w:rPr>
          <w:rFonts w:hint="eastAsia" w:ascii="宋体" w:hAnsi="宋体"/>
          <w:color w:val="auto"/>
          <w:sz w:val="24"/>
          <w:highlight w:val="none"/>
        </w:rPr>
        <w:t>征集文件中另有规定的按规定执行。</w:t>
      </w:r>
    </w:p>
    <w:p w14:paraId="616573FB">
      <w:pPr>
        <w:pStyle w:val="6"/>
        <w:keepNext w:val="0"/>
        <w:keepLines w:val="0"/>
        <w:spacing w:before="0" w:after="0" w:line="500" w:lineRule="exact"/>
        <w:ind w:firstLine="422"/>
        <w:rPr>
          <w:rFonts w:ascii="宋体" w:hAnsi="宋体" w:eastAsia="宋体"/>
          <w:bCs w:val="0"/>
          <w:color w:val="auto"/>
          <w:highlight w:val="none"/>
          <w:lang w:eastAsia="zh-CN"/>
        </w:rPr>
      </w:pPr>
      <w:bookmarkStart w:id="123" w:name="_Hlt26954848"/>
      <w:bookmarkEnd w:id="123"/>
      <w:bookmarkStart w:id="124" w:name="_Hlt26668983"/>
      <w:bookmarkEnd w:id="124"/>
      <w:bookmarkStart w:id="125" w:name="_Hlt26670486"/>
      <w:bookmarkEnd w:id="125"/>
      <w:bookmarkStart w:id="126" w:name="_Hlt26670425"/>
      <w:bookmarkEnd w:id="126"/>
      <w:bookmarkStart w:id="127" w:name="_Hlt26954731"/>
      <w:bookmarkEnd w:id="127"/>
      <w:bookmarkStart w:id="128" w:name="_Hlt26954842"/>
      <w:bookmarkEnd w:id="128"/>
      <w:bookmarkStart w:id="129" w:name="_Hlt26954846"/>
      <w:bookmarkEnd w:id="129"/>
      <w:bookmarkStart w:id="130" w:name="_Hlt26670403"/>
      <w:bookmarkEnd w:id="130"/>
      <w:bookmarkStart w:id="131" w:name="_Hlt26954844"/>
      <w:bookmarkEnd w:id="131"/>
      <w:bookmarkStart w:id="132" w:name="_Hlt26670482"/>
      <w:bookmarkEnd w:id="132"/>
      <w:r>
        <w:rPr>
          <w:rFonts w:hint="eastAsia" w:ascii="宋体" w:hAnsi="宋体" w:eastAsia="宋体"/>
          <w:bCs w:val="0"/>
          <w:color w:val="auto"/>
          <w:highlight w:val="none"/>
          <w:lang w:eastAsia="zh-CN"/>
        </w:rPr>
        <w:t>14.响应偏离表</w:t>
      </w:r>
    </w:p>
    <w:p w14:paraId="35D1DC41">
      <w:pPr>
        <w:tabs>
          <w:tab w:val="left" w:pos="1035"/>
        </w:tabs>
        <w:spacing w:line="500" w:lineRule="exact"/>
        <w:ind w:firstLine="480"/>
        <w:rPr>
          <w:rFonts w:ascii="宋体" w:hAnsi="Arial" w:cs="宋体"/>
          <w:color w:val="auto"/>
          <w:sz w:val="24"/>
          <w:highlight w:val="none"/>
          <w:lang w:val="zh-CN"/>
        </w:rPr>
      </w:pPr>
      <w:r>
        <w:rPr>
          <w:rFonts w:hint="eastAsia" w:ascii="宋体" w:hAnsi="Arial" w:cs="宋体"/>
          <w:color w:val="auto"/>
          <w:sz w:val="24"/>
          <w:highlight w:val="none"/>
        </w:rPr>
        <w:t>14</w:t>
      </w:r>
      <w:r>
        <w:rPr>
          <w:rFonts w:hint="eastAsia" w:ascii="宋体" w:hAnsi="Arial" w:cs="宋体"/>
          <w:color w:val="auto"/>
          <w:sz w:val="24"/>
          <w:highlight w:val="none"/>
          <w:lang w:val="zh-CN"/>
        </w:rPr>
        <w:t>.</w:t>
      </w:r>
      <w:r>
        <w:rPr>
          <w:rFonts w:hint="eastAsia" w:ascii="宋体" w:hAnsi="Arial" w:cs="宋体"/>
          <w:color w:val="auto"/>
          <w:sz w:val="24"/>
          <w:highlight w:val="none"/>
        </w:rPr>
        <w:t>1</w:t>
      </w:r>
      <w:r>
        <w:rPr>
          <w:rFonts w:hint="eastAsia" w:ascii="宋体" w:hAnsi="Arial" w:cs="宋体"/>
          <w:color w:val="auto"/>
          <w:sz w:val="24"/>
          <w:highlight w:val="none"/>
          <w:lang w:val="zh-CN"/>
        </w:rPr>
        <w:t>供应商可在响应文件中提供认为需要的其他技术文件或说明。</w:t>
      </w:r>
    </w:p>
    <w:p w14:paraId="14AA808E">
      <w:pPr>
        <w:pStyle w:val="6"/>
        <w:keepNext w:val="0"/>
        <w:keepLines w:val="0"/>
        <w:spacing w:before="0" w:after="0" w:line="500" w:lineRule="exact"/>
        <w:ind w:firstLine="422"/>
        <w:rPr>
          <w:rFonts w:ascii="宋体" w:hAnsi="宋体" w:eastAsia="宋体"/>
          <w:bCs w:val="0"/>
          <w:color w:val="auto"/>
          <w:highlight w:val="none"/>
          <w:lang w:eastAsia="zh-CN"/>
        </w:rPr>
      </w:pPr>
      <w:bookmarkStart w:id="133" w:name="_Hlt26954850"/>
      <w:bookmarkEnd w:id="133"/>
      <w:bookmarkStart w:id="134" w:name="_Hlt26670489"/>
      <w:bookmarkEnd w:id="134"/>
      <w:bookmarkStart w:id="135" w:name="_Hlt26954734"/>
      <w:bookmarkEnd w:id="135"/>
      <w:bookmarkStart w:id="136" w:name="_Toc14577360"/>
      <w:bookmarkStart w:id="137" w:name="_Toc49090511"/>
      <w:r>
        <w:rPr>
          <w:rFonts w:hint="eastAsia" w:ascii="宋体" w:hAnsi="宋体" w:eastAsia="宋体"/>
          <w:bCs w:val="0"/>
          <w:color w:val="auto"/>
          <w:highlight w:val="none"/>
          <w:lang w:eastAsia="zh-CN"/>
        </w:rPr>
        <w:t>15.响应文件有效期</w:t>
      </w:r>
      <w:bookmarkEnd w:id="136"/>
      <w:bookmarkEnd w:id="137"/>
    </w:p>
    <w:p w14:paraId="6600A7C6">
      <w:pPr>
        <w:spacing w:line="500" w:lineRule="exact"/>
        <w:ind w:firstLine="480"/>
        <w:rPr>
          <w:rFonts w:ascii="宋体" w:hAnsi="宋体"/>
          <w:bCs/>
          <w:color w:val="auto"/>
          <w:sz w:val="24"/>
          <w:highlight w:val="none"/>
        </w:rPr>
      </w:pPr>
      <w:r>
        <w:rPr>
          <w:rFonts w:hint="eastAsia" w:ascii="宋体" w:hAnsi="宋体"/>
          <w:color w:val="auto"/>
          <w:sz w:val="24"/>
          <w:highlight w:val="none"/>
        </w:rPr>
        <w:t>15.1响应文件</w:t>
      </w:r>
      <w:r>
        <w:rPr>
          <w:rFonts w:hint="eastAsia" w:ascii="宋体" w:hAnsi="宋体"/>
          <w:bCs/>
          <w:color w:val="auto"/>
          <w:sz w:val="24"/>
          <w:highlight w:val="none"/>
        </w:rPr>
        <w:t>有效期为征集文件规定的提交响应文件截止之日后</w:t>
      </w:r>
      <w:r>
        <w:rPr>
          <w:rFonts w:hint="eastAsia" w:ascii="宋体" w:hAnsi="宋体"/>
          <w:color w:val="auto"/>
          <w:sz w:val="24"/>
          <w:highlight w:val="none"/>
        </w:rPr>
        <w:t>九十（90）天</w:t>
      </w:r>
      <w:r>
        <w:rPr>
          <w:rFonts w:hint="eastAsia" w:ascii="宋体" w:hAnsi="宋体"/>
          <w:bCs/>
          <w:color w:val="auto"/>
          <w:sz w:val="24"/>
          <w:highlight w:val="none"/>
        </w:rPr>
        <w:t>。响应文件有效期比规定短的将被视为未实质性响应征集文件而予以拒绝。</w:t>
      </w:r>
    </w:p>
    <w:p w14:paraId="57E96DF8">
      <w:pPr>
        <w:pStyle w:val="6"/>
        <w:keepNext w:val="0"/>
        <w:keepLines w:val="0"/>
        <w:spacing w:before="0" w:after="0" w:line="500" w:lineRule="exact"/>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16.响应文件有效期的延长</w:t>
      </w:r>
    </w:p>
    <w:p w14:paraId="273C1C95">
      <w:pPr>
        <w:spacing w:line="500" w:lineRule="exact"/>
        <w:ind w:firstLine="480"/>
        <w:rPr>
          <w:rFonts w:ascii="宋体" w:hAnsi="宋体"/>
          <w:bCs/>
          <w:color w:val="auto"/>
          <w:sz w:val="24"/>
          <w:highlight w:val="none"/>
        </w:rPr>
      </w:pPr>
      <w:r>
        <w:rPr>
          <w:rFonts w:hint="eastAsia" w:ascii="宋体" w:hAnsi="宋体"/>
          <w:color w:val="auto"/>
          <w:sz w:val="24"/>
          <w:highlight w:val="none"/>
        </w:rPr>
        <w:t>16.1</w:t>
      </w:r>
      <w:r>
        <w:rPr>
          <w:rFonts w:hint="eastAsia" w:ascii="宋体" w:hAnsi="宋体"/>
          <w:bCs/>
          <w:color w:val="auto"/>
          <w:sz w:val="24"/>
          <w:highlight w:val="none"/>
        </w:rPr>
        <w:t>在特殊情况下，征集人于原响应文件有效期满之前，可向供应商提出延长响应文件有效期的要求。这种要求与答复均应采用书面形式。供应商可以拒绝这一要求而放弃征集活动</w:t>
      </w:r>
      <w:r>
        <w:rPr>
          <w:rFonts w:hint="eastAsia" w:ascii="宋体" w:hAnsi="宋体"/>
          <w:color w:val="auto"/>
          <w:sz w:val="24"/>
          <w:szCs w:val="24"/>
          <w:highlight w:val="none"/>
        </w:rPr>
        <w:t>。</w:t>
      </w:r>
      <w:r>
        <w:rPr>
          <w:rFonts w:hint="eastAsia" w:ascii="宋体" w:hAnsi="宋体"/>
          <w:bCs/>
          <w:color w:val="auto"/>
          <w:sz w:val="24"/>
          <w:highlight w:val="none"/>
        </w:rPr>
        <w:t>同意延长响应文件有效期的供应商既不能要求也不允许修改其响应文件</w:t>
      </w:r>
      <w:r>
        <w:rPr>
          <w:rFonts w:hint="eastAsia" w:ascii="宋体" w:hAnsi="宋体"/>
          <w:color w:val="auto"/>
          <w:sz w:val="24"/>
          <w:szCs w:val="24"/>
          <w:highlight w:val="none"/>
        </w:rPr>
        <w:t>，同时受响应文件有效期约束的所有权利与义务均延长至新的有效期</w:t>
      </w:r>
      <w:r>
        <w:rPr>
          <w:rFonts w:hint="eastAsia" w:ascii="宋体" w:hAnsi="宋体"/>
          <w:bCs/>
          <w:color w:val="auto"/>
          <w:sz w:val="24"/>
          <w:highlight w:val="none"/>
        </w:rPr>
        <w:t>。</w:t>
      </w:r>
    </w:p>
    <w:p w14:paraId="02F88D69">
      <w:pPr>
        <w:pStyle w:val="5"/>
        <w:keepNext w:val="0"/>
        <w:keepLines w:val="0"/>
        <w:spacing w:before="0" w:after="0" w:line="500" w:lineRule="exact"/>
        <w:ind w:firstLine="452"/>
        <w:rPr>
          <w:color w:val="auto"/>
          <w:sz w:val="30"/>
          <w:szCs w:val="30"/>
          <w:highlight w:val="none"/>
          <w:lang w:eastAsia="zh-CN"/>
        </w:rPr>
      </w:pPr>
      <w:bookmarkStart w:id="138" w:name="_Hlt26954739"/>
      <w:bookmarkEnd w:id="138"/>
      <w:bookmarkStart w:id="139" w:name="_Hlt26954852"/>
      <w:bookmarkEnd w:id="139"/>
      <w:bookmarkStart w:id="140" w:name="_Toc120614217"/>
      <w:bookmarkStart w:id="141" w:name="_Toc513029224"/>
      <w:bookmarkStart w:id="142" w:name="_Toc16938540"/>
      <w:bookmarkStart w:id="143" w:name="_Toc20823296"/>
      <w:r>
        <w:rPr>
          <w:rFonts w:hint="eastAsia"/>
          <w:color w:val="auto"/>
          <w:sz w:val="30"/>
          <w:szCs w:val="30"/>
          <w:highlight w:val="none"/>
          <w:lang w:eastAsia="zh-CN"/>
        </w:rPr>
        <w:t>四、响应文件的递交</w:t>
      </w:r>
      <w:bookmarkEnd w:id="140"/>
      <w:bookmarkEnd w:id="141"/>
      <w:bookmarkEnd w:id="142"/>
      <w:bookmarkEnd w:id="143"/>
    </w:p>
    <w:p w14:paraId="71F9F86C">
      <w:pPr>
        <w:pStyle w:val="6"/>
        <w:keepNext w:val="0"/>
        <w:keepLines w:val="0"/>
        <w:spacing w:before="0" w:after="0" w:line="500" w:lineRule="exact"/>
        <w:ind w:firstLine="422"/>
        <w:rPr>
          <w:rFonts w:ascii="宋体" w:hAnsi="宋体" w:eastAsia="宋体"/>
          <w:bCs w:val="0"/>
          <w:color w:val="auto"/>
          <w:highlight w:val="none"/>
          <w:lang w:eastAsia="zh-CN"/>
        </w:rPr>
      </w:pPr>
      <w:bookmarkStart w:id="144" w:name="_Toc513029225"/>
      <w:bookmarkStart w:id="145" w:name="_Toc20823297"/>
      <w:bookmarkStart w:id="146" w:name="_Toc462564084"/>
      <w:bookmarkStart w:id="147" w:name="_Toc16938541"/>
      <w:r>
        <w:rPr>
          <w:rFonts w:hint="eastAsia" w:ascii="宋体" w:hAnsi="宋体" w:eastAsia="宋体"/>
          <w:bCs w:val="0"/>
          <w:color w:val="auto"/>
          <w:highlight w:val="none"/>
          <w:lang w:eastAsia="zh-CN"/>
        </w:rPr>
        <w:t>17.响应文件</w:t>
      </w:r>
      <w:bookmarkEnd w:id="144"/>
      <w:bookmarkEnd w:id="145"/>
      <w:bookmarkEnd w:id="146"/>
      <w:bookmarkEnd w:id="147"/>
      <w:r>
        <w:rPr>
          <w:rFonts w:hint="eastAsia" w:ascii="宋体" w:hAnsi="宋体" w:eastAsia="宋体"/>
          <w:bCs w:val="0"/>
          <w:color w:val="auto"/>
          <w:highlight w:val="none"/>
          <w:lang w:eastAsia="zh-CN"/>
        </w:rPr>
        <w:t>的递交</w:t>
      </w:r>
    </w:p>
    <w:p w14:paraId="070AA80C">
      <w:pPr>
        <w:spacing w:line="500" w:lineRule="exact"/>
        <w:ind w:firstLine="480"/>
        <w:rPr>
          <w:rFonts w:ascii="宋体" w:hAnsi="宋体"/>
          <w:bCs/>
          <w:color w:val="auto"/>
          <w:sz w:val="24"/>
          <w:highlight w:val="none"/>
        </w:rPr>
      </w:pPr>
      <w:r>
        <w:rPr>
          <w:rFonts w:hint="eastAsia" w:ascii="宋体" w:hAnsi="宋体"/>
          <w:color w:val="auto"/>
          <w:sz w:val="24"/>
          <w:highlight w:val="none"/>
        </w:rPr>
        <w:t>17.1</w:t>
      </w:r>
      <w:r>
        <w:rPr>
          <w:rFonts w:hint="eastAsia" w:ascii="宋体" w:hAnsi="宋体"/>
          <w:bCs/>
          <w:color w:val="auto"/>
          <w:sz w:val="24"/>
          <w:highlight w:val="none"/>
        </w:rPr>
        <w:t>电子响应文件的递交</w:t>
      </w:r>
    </w:p>
    <w:p w14:paraId="5160B78B">
      <w:pPr>
        <w:pStyle w:val="68"/>
        <w:spacing w:line="500" w:lineRule="exact"/>
        <w:ind w:firstLine="480"/>
        <w:rPr>
          <w:rFonts w:ascii="宋体" w:hAnsi="宋体"/>
          <w:bCs/>
          <w:color w:val="auto"/>
          <w:sz w:val="24"/>
          <w:highlight w:val="none"/>
        </w:rPr>
      </w:pPr>
      <w:r>
        <w:rPr>
          <w:rFonts w:hint="eastAsia" w:ascii="宋体" w:hAnsi="宋体"/>
          <w:bCs/>
          <w:color w:val="auto"/>
          <w:sz w:val="24"/>
          <w:highlight w:val="none"/>
        </w:rPr>
        <w:t>供应商应当按照《操作手册》规定，在提交响应文件截止时间前</w:t>
      </w:r>
      <w:r>
        <w:rPr>
          <w:rFonts w:ascii="宋体" w:hAnsi="宋体"/>
          <w:bCs/>
          <w:color w:val="auto"/>
          <w:sz w:val="24"/>
          <w:highlight w:val="none"/>
        </w:rPr>
        <w:t>制作</w:t>
      </w:r>
      <w:r>
        <w:rPr>
          <w:rFonts w:hint="eastAsia" w:ascii="宋体" w:hAnsi="宋体"/>
          <w:bCs/>
          <w:color w:val="auto"/>
          <w:sz w:val="24"/>
          <w:highlight w:val="none"/>
        </w:rPr>
        <w:t>并上传电子响应文件。</w:t>
      </w:r>
      <w:bookmarkStart w:id="148" w:name="_Toc513029226"/>
      <w:bookmarkStart w:id="149" w:name="_Toc20823298"/>
      <w:bookmarkStart w:id="150" w:name="_Toc16938542"/>
    </w:p>
    <w:p w14:paraId="1B1EA21E">
      <w:pPr>
        <w:pStyle w:val="6"/>
        <w:keepNext w:val="0"/>
        <w:keepLines w:val="0"/>
        <w:spacing w:before="0" w:after="0" w:line="500" w:lineRule="exact"/>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18.</w:t>
      </w:r>
      <w:bookmarkEnd w:id="148"/>
      <w:bookmarkEnd w:id="149"/>
      <w:bookmarkEnd w:id="150"/>
      <w:r>
        <w:rPr>
          <w:rFonts w:hint="eastAsia" w:ascii="宋体" w:hAnsi="宋体" w:eastAsia="宋体"/>
          <w:bCs w:val="0"/>
          <w:color w:val="auto"/>
          <w:highlight w:val="none"/>
          <w:lang w:eastAsia="zh-CN"/>
        </w:rPr>
        <w:t>提交响应文件截止时间</w:t>
      </w:r>
    </w:p>
    <w:p w14:paraId="0097F947">
      <w:pPr>
        <w:spacing w:line="500" w:lineRule="exact"/>
        <w:ind w:firstLine="480"/>
        <w:rPr>
          <w:rFonts w:ascii="宋体" w:hAnsi="宋体"/>
          <w:bCs/>
          <w:color w:val="auto"/>
          <w:sz w:val="24"/>
          <w:highlight w:val="none"/>
        </w:rPr>
      </w:pPr>
      <w:r>
        <w:rPr>
          <w:rFonts w:hint="eastAsia" w:ascii="宋体" w:hAnsi="宋体"/>
          <w:color w:val="auto"/>
          <w:sz w:val="24"/>
          <w:highlight w:val="none"/>
        </w:rPr>
        <w:t>18.1</w:t>
      </w:r>
      <w:r>
        <w:rPr>
          <w:rFonts w:hint="eastAsia" w:ascii="宋体" w:hAnsi="宋体"/>
          <w:bCs/>
          <w:color w:val="auto"/>
          <w:sz w:val="24"/>
          <w:highlight w:val="none"/>
        </w:rPr>
        <w:t>供应商上传电子响应文件的时间不得迟于征集公告中规定的提交响应文件截止时间。</w:t>
      </w:r>
    </w:p>
    <w:p w14:paraId="51CEA448">
      <w:pPr>
        <w:spacing w:line="500" w:lineRule="exact"/>
        <w:ind w:firstLine="480"/>
        <w:rPr>
          <w:rFonts w:ascii="宋体" w:hAnsi="宋体"/>
          <w:bCs/>
          <w:color w:val="auto"/>
          <w:sz w:val="24"/>
          <w:highlight w:val="none"/>
        </w:rPr>
      </w:pPr>
      <w:r>
        <w:rPr>
          <w:rFonts w:hint="eastAsia" w:ascii="宋体" w:hAnsi="宋体"/>
          <w:bCs/>
          <w:color w:val="auto"/>
          <w:sz w:val="24"/>
          <w:highlight w:val="none"/>
        </w:rPr>
        <w:t>供应商应充分考虑到网络环境、网络带宽等风险因素，如因供应商自身原因造成的电子响应文件上传不成功的视作供应商未按照征集文件要求上传电子响应文件，做无效响应处理。</w:t>
      </w:r>
    </w:p>
    <w:p w14:paraId="1052F7FA">
      <w:pPr>
        <w:spacing w:line="500" w:lineRule="exact"/>
        <w:ind w:firstLine="480"/>
        <w:rPr>
          <w:rFonts w:ascii="宋体" w:hAnsi="宋体"/>
          <w:bCs/>
          <w:color w:val="auto"/>
          <w:sz w:val="24"/>
          <w:highlight w:val="none"/>
        </w:rPr>
      </w:pPr>
      <w:r>
        <w:rPr>
          <w:rFonts w:hint="eastAsia" w:ascii="宋体" w:hAnsi="宋体"/>
          <w:color w:val="auto"/>
          <w:sz w:val="24"/>
          <w:highlight w:val="none"/>
        </w:rPr>
        <w:t>18.2</w:t>
      </w:r>
      <w:r>
        <w:rPr>
          <w:rFonts w:hint="eastAsia" w:ascii="宋体" w:hAnsi="宋体"/>
          <w:bCs/>
          <w:color w:val="auto"/>
          <w:sz w:val="24"/>
          <w:highlight w:val="none"/>
        </w:rPr>
        <w:t>征集人可以按照规定，通过更正公告修改提交响应文件截止时间，供应商的所有权利和义务以及供应商受制的截止时间均应以延长后新的截止时间为准。</w:t>
      </w:r>
    </w:p>
    <w:p w14:paraId="0F39E94C">
      <w:pPr>
        <w:pStyle w:val="6"/>
        <w:keepNext w:val="0"/>
        <w:keepLines w:val="0"/>
        <w:spacing w:before="0" w:after="0" w:line="500" w:lineRule="exact"/>
        <w:ind w:firstLine="422"/>
        <w:rPr>
          <w:rFonts w:ascii="宋体" w:hAnsi="宋体" w:eastAsia="宋体"/>
          <w:bCs w:val="0"/>
          <w:color w:val="auto"/>
          <w:highlight w:val="none"/>
          <w:lang w:eastAsia="zh-CN"/>
        </w:rPr>
      </w:pPr>
      <w:bookmarkStart w:id="151" w:name="_Toc16938543"/>
      <w:bookmarkStart w:id="152" w:name="_Toc513029227"/>
      <w:bookmarkStart w:id="153" w:name="_Toc20823299"/>
      <w:r>
        <w:rPr>
          <w:rFonts w:hint="eastAsia" w:ascii="宋体" w:hAnsi="宋体" w:eastAsia="宋体"/>
          <w:bCs w:val="0"/>
          <w:color w:val="auto"/>
          <w:highlight w:val="none"/>
          <w:lang w:eastAsia="zh-CN"/>
        </w:rPr>
        <w:t>19.响应文件</w:t>
      </w:r>
      <w:bookmarkEnd w:id="151"/>
      <w:bookmarkEnd w:id="152"/>
      <w:bookmarkEnd w:id="153"/>
      <w:r>
        <w:rPr>
          <w:rFonts w:hint="eastAsia" w:ascii="宋体" w:hAnsi="宋体" w:eastAsia="宋体"/>
          <w:bCs w:val="0"/>
          <w:color w:val="auto"/>
          <w:highlight w:val="none"/>
          <w:lang w:eastAsia="zh-CN"/>
        </w:rPr>
        <w:t>的拒收</w:t>
      </w:r>
    </w:p>
    <w:p w14:paraId="333F41F3">
      <w:pPr>
        <w:spacing w:line="500" w:lineRule="exact"/>
        <w:ind w:firstLine="480"/>
        <w:rPr>
          <w:rFonts w:ascii="宋体" w:hAnsi="宋体"/>
          <w:bCs/>
          <w:color w:val="auto"/>
          <w:sz w:val="24"/>
          <w:highlight w:val="none"/>
        </w:rPr>
      </w:pPr>
      <w:r>
        <w:rPr>
          <w:rFonts w:hint="eastAsia" w:ascii="宋体" w:hAnsi="宋体"/>
          <w:color w:val="auto"/>
          <w:sz w:val="24"/>
          <w:highlight w:val="none"/>
        </w:rPr>
        <w:t>19.1</w:t>
      </w:r>
      <w:r>
        <w:rPr>
          <w:rFonts w:hint="eastAsia" w:ascii="宋体" w:hAnsi="宋体"/>
          <w:bCs/>
          <w:color w:val="auto"/>
          <w:sz w:val="24"/>
          <w:highlight w:val="none"/>
        </w:rPr>
        <w:t>在规定的提交响应文件截止时间后上传的任何响应文件将被拒绝接收。</w:t>
      </w:r>
    </w:p>
    <w:p w14:paraId="7EFA5093">
      <w:pPr>
        <w:pStyle w:val="6"/>
        <w:keepNext w:val="0"/>
        <w:keepLines w:val="0"/>
        <w:spacing w:before="0" w:after="0" w:line="500" w:lineRule="exact"/>
        <w:ind w:firstLine="422"/>
        <w:rPr>
          <w:rFonts w:ascii="宋体" w:hAnsi="宋体" w:eastAsia="宋体"/>
          <w:bCs w:val="0"/>
          <w:color w:val="auto"/>
          <w:highlight w:val="none"/>
          <w:lang w:eastAsia="zh-CN"/>
        </w:rPr>
      </w:pPr>
      <w:bookmarkStart w:id="154" w:name="_Toc513029228"/>
      <w:bookmarkStart w:id="155" w:name="_Toc16938544"/>
      <w:bookmarkStart w:id="156" w:name="_Toc20823300"/>
      <w:r>
        <w:rPr>
          <w:rFonts w:hint="eastAsia" w:ascii="宋体" w:hAnsi="宋体" w:eastAsia="宋体"/>
          <w:bCs w:val="0"/>
          <w:color w:val="auto"/>
          <w:highlight w:val="none"/>
          <w:lang w:eastAsia="zh-CN"/>
        </w:rPr>
        <w:t>20.响应文件的撤回和修改</w:t>
      </w:r>
      <w:bookmarkEnd w:id="154"/>
      <w:bookmarkEnd w:id="155"/>
      <w:bookmarkEnd w:id="156"/>
    </w:p>
    <w:p w14:paraId="63A02C63">
      <w:pPr>
        <w:spacing w:line="500" w:lineRule="exact"/>
        <w:ind w:firstLine="480"/>
        <w:rPr>
          <w:rFonts w:ascii="宋体" w:hAnsi="宋体"/>
          <w:color w:val="auto"/>
          <w:sz w:val="24"/>
          <w:highlight w:val="none"/>
        </w:rPr>
      </w:pPr>
      <w:r>
        <w:rPr>
          <w:rFonts w:hint="eastAsia" w:ascii="宋体" w:hAnsi="宋体"/>
          <w:color w:val="auto"/>
          <w:sz w:val="24"/>
          <w:highlight w:val="none"/>
        </w:rPr>
        <w:t>20.1响应文件的撤回</w:t>
      </w:r>
    </w:p>
    <w:p w14:paraId="39AD263A">
      <w:pPr>
        <w:spacing w:line="500" w:lineRule="exact"/>
        <w:ind w:firstLine="480"/>
        <w:rPr>
          <w:rFonts w:ascii="宋体" w:hAnsi="宋体"/>
          <w:color w:val="auto"/>
          <w:sz w:val="24"/>
          <w:highlight w:val="none"/>
        </w:rPr>
      </w:pPr>
      <w:r>
        <w:rPr>
          <w:rFonts w:hint="eastAsia" w:ascii="宋体" w:hAnsi="宋体"/>
          <w:color w:val="auto"/>
          <w:sz w:val="24"/>
          <w:highlight w:val="none"/>
        </w:rPr>
        <w:t>20.1.1电子响应文件的撤回</w:t>
      </w:r>
    </w:p>
    <w:p w14:paraId="5E3D6ED7">
      <w:pPr>
        <w:spacing w:line="500" w:lineRule="exact"/>
        <w:ind w:firstLine="480"/>
        <w:rPr>
          <w:rFonts w:ascii="宋体" w:hAnsi="宋体"/>
          <w:color w:val="auto"/>
          <w:sz w:val="24"/>
          <w:highlight w:val="none"/>
        </w:rPr>
      </w:pPr>
      <w:r>
        <w:rPr>
          <w:rFonts w:hint="eastAsia" w:ascii="宋体" w:hAnsi="宋体"/>
          <w:color w:val="auto"/>
          <w:sz w:val="24"/>
          <w:highlight w:val="none"/>
        </w:rPr>
        <w:t>供应商可在</w:t>
      </w:r>
      <w:r>
        <w:rPr>
          <w:rFonts w:hint="eastAsia" w:ascii="宋体" w:hAnsi="宋体"/>
          <w:bCs/>
          <w:color w:val="auto"/>
          <w:sz w:val="24"/>
          <w:highlight w:val="none"/>
        </w:rPr>
        <w:t>提交响应文件</w:t>
      </w:r>
      <w:r>
        <w:rPr>
          <w:rFonts w:hint="eastAsia" w:ascii="宋体" w:hAnsi="宋体"/>
          <w:color w:val="auto"/>
          <w:sz w:val="24"/>
          <w:highlight w:val="none"/>
        </w:rPr>
        <w:t>截止时间前，撤回其电子响应文件，具体操作方法见《操作手册》。</w:t>
      </w:r>
    </w:p>
    <w:p w14:paraId="71F4A23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20.1.</w:t>
      </w:r>
      <w:r>
        <w:rPr>
          <w:rFonts w:ascii="宋体" w:hAnsi="宋体"/>
          <w:color w:val="auto"/>
          <w:sz w:val="24"/>
          <w:szCs w:val="24"/>
          <w:highlight w:val="none"/>
        </w:rPr>
        <w:t>2</w:t>
      </w:r>
      <w:r>
        <w:rPr>
          <w:rFonts w:hint="eastAsia" w:ascii="宋体" w:hAnsi="宋体"/>
          <w:color w:val="auto"/>
          <w:sz w:val="24"/>
          <w:szCs w:val="24"/>
          <w:highlight w:val="none"/>
        </w:rPr>
        <w:t>供应商撤回电子响应文件，则认为其不再参与本项目征集活动。</w:t>
      </w:r>
    </w:p>
    <w:p w14:paraId="5B6ECBF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20.2响应文件的修改</w:t>
      </w:r>
    </w:p>
    <w:p w14:paraId="65114B88">
      <w:pPr>
        <w:spacing w:line="500" w:lineRule="exact"/>
        <w:ind w:firstLine="480"/>
        <w:rPr>
          <w:rFonts w:ascii="宋体" w:hAnsi="宋体"/>
          <w:color w:val="auto"/>
          <w:sz w:val="24"/>
          <w:highlight w:val="none"/>
        </w:rPr>
      </w:pPr>
      <w:r>
        <w:rPr>
          <w:rFonts w:hint="eastAsia" w:ascii="宋体" w:hAnsi="宋体"/>
          <w:color w:val="auto"/>
          <w:sz w:val="24"/>
          <w:highlight w:val="none"/>
        </w:rPr>
        <w:t>20.2.1供应商可在</w:t>
      </w:r>
      <w:r>
        <w:rPr>
          <w:rFonts w:hint="eastAsia" w:ascii="宋体" w:hAnsi="宋体"/>
          <w:bCs/>
          <w:color w:val="auto"/>
          <w:sz w:val="24"/>
          <w:highlight w:val="none"/>
        </w:rPr>
        <w:t>提交响应文件</w:t>
      </w:r>
      <w:r>
        <w:rPr>
          <w:rFonts w:hint="eastAsia" w:ascii="宋体" w:hAnsi="宋体"/>
          <w:color w:val="auto"/>
          <w:sz w:val="24"/>
          <w:highlight w:val="none"/>
        </w:rPr>
        <w:t>截止时间前，对其电子响应文件进行修改，具体操作方法见《操作手册》。</w:t>
      </w:r>
    </w:p>
    <w:p w14:paraId="6ED5BDA5">
      <w:pPr>
        <w:spacing w:line="500" w:lineRule="exact"/>
        <w:ind w:firstLine="480"/>
        <w:rPr>
          <w:rFonts w:ascii="宋体" w:hAnsi="宋体"/>
          <w:bCs/>
          <w:color w:val="auto"/>
          <w:sz w:val="24"/>
          <w:highlight w:val="none"/>
        </w:rPr>
      </w:pPr>
      <w:r>
        <w:rPr>
          <w:rFonts w:hint="eastAsia" w:ascii="宋体" w:hAnsi="宋体"/>
          <w:color w:val="auto"/>
          <w:sz w:val="24"/>
          <w:highlight w:val="none"/>
        </w:rPr>
        <w:t>20.2.2</w:t>
      </w:r>
      <w:r>
        <w:rPr>
          <w:rFonts w:hint="eastAsia" w:ascii="宋体" w:hAnsi="宋体"/>
          <w:bCs/>
          <w:color w:val="auto"/>
          <w:sz w:val="24"/>
          <w:highlight w:val="none"/>
        </w:rPr>
        <w:t>在提交响应文件截止时间之后，供应商不得对其电子响应文件作任何修改。</w:t>
      </w:r>
    </w:p>
    <w:p w14:paraId="4954412E">
      <w:pPr>
        <w:spacing w:line="500" w:lineRule="exact"/>
        <w:ind w:firstLine="480"/>
        <w:rPr>
          <w:rFonts w:ascii="宋体" w:hAnsi="宋体"/>
          <w:bCs/>
          <w:color w:val="auto"/>
          <w:sz w:val="24"/>
          <w:highlight w:val="none"/>
        </w:rPr>
      </w:pPr>
      <w:r>
        <w:rPr>
          <w:rFonts w:hint="eastAsia" w:ascii="宋体" w:hAnsi="宋体"/>
          <w:color w:val="auto"/>
          <w:sz w:val="24"/>
          <w:highlight w:val="none"/>
        </w:rPr>
        <w:t>20.3</w:t>
      </w:r>
      <w:r>
        <w:rPr>
          <w:rFonts w:hint="eastAsia" w:ascii="宋体" w:hAnsi="宋体"/>
          <w:bCs/>
          <w:color w:val="auto"/>
          <w:sz w:val="24"/>
          <w:highlight w:val="none"/>
        </w:rPr>
        <w:t>在提交响应文件截止时间至征集文件中规定的响应文件有效期满之间的这段时间内，供应商不得撤回其响应文件。</w:t>
      </w:r>
    </w:p>
    <w:p w14:paraId="18E7DD30">
      <w:pPr>
        <w:pStyle w:val="5"/>
        <w:keepNext w:val="0"/>
        <w:keepLines w:val="0"/>
        <w:spacing w:before="0" w:after="0" w:line="500" w:lineRule="exact"/>
        <w:ind w:firstLine="452"/>
        <w:rPr>
          <w:color w:val="auto"/>
          <w:sz w:val="30"/>
          <w:szCs w:val="30"/>
          <w:highlight w:val="none"/>
          <w:lang w:eastAsia="zh-CN"/>
        </w:rPr>
      </w:pPr>
      <w:bookmarkStart w:id="157" w:name="_Toc513029229"/>
      <w:bookmarkStart w:id="158" w:name="_Toc20823301"/>
      <w:bookmarkStart w:id="159" w:name="_Toc120614218"/>
      <w:bookmarkStart w:id="160" w:name="_Toc16938545"/>
      <w:r>
        <w:rPr>
          <w:rFonts w:hint="eastAsia"/>
          <w:color w:val="auto"/>
          <w:sz w:val="30"/>
          <w:szCs w:val="30"/>
          <w:highlight w:val="none"/>
          <w:lang w:eastAsia="zh-CN"/>
        </w:rPr>
        <w:t>五、</w:t>
      </w:r>
      <w:bookmarkEnd w:id="157"/>
      <w:bookmarkEnd w:id="158"/>
      <w:bookmarkEnd w:id="159"/>
      <w:bookmarkEnd w:id="160"/>
      <w:r>
        <w:rPr>
          <w:rFonts w:hint="eastAsia"/>
          <w:color w:val="auto"/>
          <w:sz w:val="30"/>
          <w:szCs w:val="30"/>
          <w:highlight w:val="none"/>
          <w:lang w:eastAsia="zh-CN"/>
        </w:rPr>
        <w:t>响应文件的解密与评审</w:t>
      </w:r>
    </w:p>
    <w:p w14:paraId="18B34F0D">
      <w:pPr>
        <w:pStyle w:val="6"/>
        <w:keepNext w:val="0"/>
        <w:keepLines w:val="0"/>
        <w:spacing w:before="0" w:after="0" w:line="500" w:lineRule="exact"/>
        <w:ind w:firstLine="422"/>
        <w:rPr>
          <w:rFonts w:ascii="宋体" w:hAnsi="宋体" w:eastAsia="宋体"/>
          <w:bCs w:val="0"/>
          <w:color w:val="auto"/>
          <w:highlight w:val="none"/>
          <w:lang w:eastAsia="zh-CN"/>
        </w:rPr>
      </w:pPr>
      <w:bookmarkStart w:id="161" w:name="_Toc20823302"/>
      <w:bookmarkStart w:id="162" w:name="_Toc513029230"/>
      <w:bookmarkStart w:id="163" w:name="_Toc16938546"/>
      <w:r>
        <w:rPr>
          <w:rFonts w:hint="eastAsia" w:ascii="宋体" w:hAnsi="宋体" w:eastAsia="宋体"/>
          <w:bCs w:val="0"/>
          <w:color w:val="auto"/>
          <w:highlight w:val="none"/>
          <w:lang w:eastAsia="zh-CN"/>
        </w:rPr>
        <w:t>21.</w:t>
      </w:r>
      <w:bookmarkEnd w:id="161"/>
      <w:bookmarkEnd w:id="162"/>
      <w:bookmarkEnd w:id="163"/>
      <w:r>
        <w:rPr>
          <w:rFonts w:hint="eastAsia" w:ascii="宋体" w:hAnsi="宋体" w:eastAsia="宋体"/>
          <w:bCs w:val="0"/>
          <w:color w:val="auto"/>
          <w:highlight w:val="none"/>
          <w:lang w:eastAsia="zh-CN"/>
        </w:rPr>
        <w:t>响应文件解密</w:t>
      </w:r>
    </w:p>
    <w:p w14:paraId="201F5232">
      <w:pPr>
        <w:spacing w:line="500" w:lineRule="exact"/>
        <w:ind w:firstLine="480"/>
        <w:rPr>
          <w:rFonts w:ascii="宋体" w:hAnsi="宋体"/>
          <w:color w:val="auto"/>
          <w:sz w:val="24"/>
          <w:highlight w:val="none"/>
        </w:rPr>
      </w:pPr>
      <w:r>
        <w:rPr>
          <w:rFonts w:hint="eastAsia" w:ascii="宋体" w:hAnsi="宋体"/>
          <w:color w:val="auto"/>
          <w:sz w:val="24"/>
          <w:highlight w:val="none"/>
        </w:rPr>
        <w:t>21.1供应商应当按照《操作手册》规定，在</w:t>
      </w:r>
      <w:r>
        <w:rPr>
          <w:rFonts w:hint="eastAsia" w:ascii="宋体" w:hAnsi="宋体"/>
          <w:bCs/>
          <w:color w:val="auto"/>
          <w:sz w:val="24"/>
          <w:szCs w:val="24"/>
          <w:highlight w:val="none"/>
        </w:rPr>
        <w:t>“苏采云”系统</w:t>
      </w:r>
      <w:r>
        <w:rPr>
          <w:rFonts w:hint="eastAsia" w:ascii="宋体" w:hAnsi="宋体"/>
          <w:color w:val="auto"/>
          <w:sz w:val="24"/>
          <w:highlight w:val="none"/>
        </w:rPr>
        <w:t>规定的时间内对响应文件进行解密。</w:t>
      </w:r>
    </w:p>
    <w:p w14:paraId="597ED26B">
      <w:pPr>
        <w:pStyle w:val="6"/>
        <w:keepNext w:val="0"/>
        <w:keepLines w:val="0"/>
        <w:spacing w:before="0" w:after="0" w:line="500" w:lineRule="exact"/>
        <w:ind w:firstLine="422"/>
        <w:rPr>
          <w:rFonts w:ascii="宋体" w:hAnsi="宋体" w:eastAsia="宋体"/>
          <w:bCs w:val="0"/>
          <w:color w:val="auto"/>
          <w:highlight w:val="none"/>
          <w:lang w:eastAsia="zh-CN"/>
        </w:rPr>
      </w:pPr>
      <w:bookmarkStart w:id="164" w:name="_Toc20823303"/>
      <w:bookmarkStart w:id="165" w:name="_Toc513029231"/>
      <w:bookmarkStart w:id="166" w:name="_Toc16938547"/>
      <w:r>
        <w:rPr>
          <w:rFonts w:hint="eastAsia" w:ascii="宋体" w:hAnsi="宋体" w:eastAsia="宋体"/>
          <w:bCs w:val="0"/>
          <w:color w:val="auto"/>
          <w:highlight w:val="none"/>
          <w:lang w:eastAsia="zh-CN"/>
        </w:rPr>
        <w:t>22.评审小组</w:t>
      </w:r>
    </w:p>
    <w:p w14:paraId="417C81E7">
      <w:pPr>
        <w:spacing w:line="500" w:lineRule="exact"/>
        <w:ind w:firstLine="480"/>
        <w:rPr>
          <w:rFonts w:ascii="宋体" w:hAnsi="宋体"/>
          <w:b/>
          <w:color w:val="auto"/>
          <w:sz w:val="24"/>
          <w:szCs w:val="24"/>
          <w:highlight w:val="none"/>
        </w:rPr>
      </w:pPr>
      <w:r>
        <w:rPr>
          <w:rFonts w:hint="eastAsia" w:ascii="宋体" w:hAnsi="宋体"/>
          <w:color w:val="auto"/>
          <w:sz w:val="24"/>
          <w:szCs w:val="24"/>
          <w:highlight w:val="none"/>
        </w:rPr>
        <w:t>22.1采购代理机构将组织评审小组对响应文件进行评审。评审小组依法组建，且人员构成符合政府采购有关规定。</w:t>
      </w:r>
    </w:p>
    <w:p w14:paraId="11C6298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22.2评审小组独立工作，负责对征集</w:t>
      </w:r>
      <w:r>
        <w:rPr>
          <w:rFonts w:hint="eastAsia" w:ascii="宋体" w:hAnsi="宋体"/>
          <w:color w:val="auto"/>
          <w:sz w:val="24"/>
          <w:highlight w:val="none"/>
        </w:rPr>
        <w:t>文件进行审核，确认其不存在歧视性、排他性等不合理条款后，开始</w:t>
      </w:r>
      <w:r>
        <w:rPr>
          <w:rFonts w:hint="eastAsia" w:ascii="宋体" w:hAnsi="宋体"/>
          <w:color w:val="auto"/>
          <w:sz w:val="24"/>
          <w:szCs w:val="24"/>
          <w:highlight w:val="none"/>
        </w:rPr>
        <w:t>负责评审所有响应文件并确定入围供应商。如有争议最终由评审小组认定。</w:t>
      </w:r>
    </w:p>
    <w:p w14:paraId="4A4DC9B1">
      <w:pPr>
        <w:pStyle w:val="6"/>
        <w:keepNext w:val="0"/>
        <w:keepLines w:val="0"/>
        <w:spacing w:before="0" w:after="0" w:line="500" w:lineRule="exact"/>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23.评审过程的保密与公正</w:t>
      </w:r>
    </w:p>
    <w:bookmarkEnd w:id="164"/>
    <w:bookmarkEnd w:id="165"/>
    <w:bookmarkEnd w:id="166"/>
    <w:p w14:paraId="3EED84F4">
      <w:pPr>
        <w:spacing w:line="500" w:lineRule="exact"/>
        <w:ind w:firstLine="480"/>
        <w:rPr>
          <w:rFonts w:ascii="宋体" w:hAnsi="宋体"/>
          <w:bCs/>
          <w:color w:val="auto"/>
          <w:sz w:val="24"/>
          <w:highlight w:val="none"/>
        </w:rPr>
      </w:pPr>
      <w:r>
        <w:rPr>
          <w:rFonts w:hint="eastAsia" w:ascii="宋体" w:hAnsi="宋体"/>
          <w:bCs/>
          <w:color w:val="auto"/>
          <w:sz w:val="24"/>
          <w:highlight w:val="none"/>
        </w:rPr>
        <w:t>23.1评审小组、征集人和采购代理机构工作人员、相关监督人员等与评审工作有关的人员，对评审情况以及在评审过程中获悉的国家秘密、商业秘密负有保密责任。</w:t>
      </w:r>
    </w:p>
    <w:p w14:paraId="17305C88">
      <w:pPr>
        <w:spacing w:line="500" w:lineRule="exact"/>
        <w:ind w:firstLine="480"/>
        <w:rPr>
          <w:rFonts w:ascii="宋体" w:hAnsi="宋体"/>
          <w:color w:val="auto"/>
          <w:sz w:val="24"/>
          <w:szCs w:val="24"/>
          <w:highlight w:val="none"/>
        </w:rPr>
      </w:pPr>
      <w:r>
        <w:rPr>
          <w:rFonts w:hint="eastAsia" w:ascii="宋体" w:hAnsi="宋体"/>
          <w:color w:val="auto"/>
          <w:sz w:val="24"/>
          <w:highlight w:val="none"/>
        </w:rPr>
        <w:t>23.2</w:t>
      </w:r>
      <w:r>
        <w:rPr>
          <w:rFonts w:hint="eastAsia" w:ascii="宋体" w:hAnsi="宋体"/>
          <w:color w:val="auto"/>
          <w:sz w:val="24"/>
          <w:szCs w:val="24"/>
          <w:highlight w:val="none"/>
        </w:rPr>
        <w:t>在评审过程中，供应商不得以任何行为影响评审过程，否则其响应文件将被作为无效响应文件。</w:t>
      </w:r>
    </w:p>
    <w:p w14:paraId="1BD2640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23.</w:t>
      </w:r>
      <w:r>
        <w:rPr>
          <w:rFonts w:ascii="宋体" w:hAnsi="宋体"/>
          <w:color w:val="auto"/>
          <w:sz w:val="24"/>
          <w:szCs w:val="24"/>
          <w:highlight w:val="none"/>
        </w:rPr>
        <w:t>3</w:t>
      </w:r>
      <w:r>
        <w:rPr>
          <w:rFonts w:hint="eastAsia" w:ascii="宋体" w:hAnsi="宋体"/>
          <w:color w:val="auto"/>
          <w:sz w:val="24"/>
          <w:szCs w:val="24"/>
          <w:highlight w:val="none"/>
        </w:rPr>
        <w:t>征集人、采购代理机构和评审小组不向未入围的供应商解释未入围原因，也不公布评审过程中的相关细节。</w:t>
      </w:r>
    </w:p>
    <w:p w14:paraId="7E1D3E41">
      <w:pPr>
        <w:pStyle w:val="6"/>
        <w:keepNext w:val="0"/>
        <w:keepLines w:val="0"/>
        <w:spacing w:before="0" w:after="0" w:line="500" w:lineRule="exact"/>
        <w:ind w:firstLine="422"/>
        <w:rPr>
          <w:rFonts w:ascii="宋体" w:hAnsi="宋体" w:eastAsia="宋体"/>
          <w:bCs w:val="0"/>
          <w:color w:val="auto"/>
          <w:highlight w:val="none"/>
          <w:lang w:eastAsia="zh-CN"/>
        </w:rPr>
      </w:pPr>
      <w:bookmarkStart w:id="167" w:name="_Toc16938548"/>
      <w:bookmarkStart w:id="168" w:name="_Toc513029232"/>
      <w:bookmarkStart w:id="169" w:name="_Toc20823304"/>
      <w:r>
        <w:rPr>
          <w:rFonts w:hint="eastAsia" w:ascii="宋体" w:hAnsi="宋体" w:eastAsia="宋体"/>
          <w:bCs w:val="0"/>
          <w:color w:val="auto"/>
          <w:highlight w:val="none"/>
          <w:lang w:eastAsia="zh-CN"/>
        </w:rPr>
        <w:t>24.评审过程中的澄清</w:t>
      </w:r>
      <w:bookmarkEnd w:id="167"/>
      <w:bookmarkEnd w:id="168"/>
      <w:bookmarkEnd w:id="169"/>
    </w:p>
    <w:p w14:paraId="602BDC70">
      <w:pPr>
        <w:spacing w:line="500" w:lineRule="exact"/>
        <w:ind w:firstLine="480"/>
        <w:rPr>
          <w:rFonts w:ascii="宋体" w:hAnsi="宋体"/>
          <w:color w:val="auto"/>
          <w:sz w:val="24"/>
          <w:szCs w:val="24"/>
          <w:highlight w:val="none"/>
        </w:rPr>
      </w:pPr>
      <w:r>
        <w:rPr>
          <w:rFonts w:ascii="宋体" w:hAnsi="宋体"/>
          <w:color w:val="auto"/>
          <w:sz w:val="24"/>
          <w:szCs w:val="24"/>
          <w:highlight w:val="none"/>
        </w:rPr>
        <w:t>2</w:t>
      </w:r>
      <w:r>
        <w:rPr>
          <w:rFonts w:hint="eastAsia" w:ascii="宋体" w:hAnsi="宋体"/>
          <w:color w:val="auto"/>
          <w:sz w:val="24"/>
          <w:szCs w:val="24"/>
          <w:highlight w:val="none"/>
        </w:rPr>
        <w:t>4.</w:t>
      </w:r>
      <w:r>
        <w:rPr>
          <w:rFonts w:ascii="宋体" w:hAnsi="宋体"/>
          <w:color w:val="auto"/>
          <w:sz w:val="24"/>
          <w:szCs w:val="24"/>
          <w:highlight w:val="none"/>
        </w:rPr>
        <w:t>1</w:t>
      </w:r>
      <w:r>
        <w:rPr>
          <w:rFonts w:hint="eastAsia" w:ascii="宋体" w:hAnsi="宋体"/>
          <w:color w:val="auto"/>
          <w:sz w:val="24"/>
          <w:szCs w:val="24"/>
          <w:highlight w:val="none"/>
        </w:rPr>
        <w:t>评审期间，评审小组对响应文件中含义不明确、同类问题表述不一致或者有明显文字和计算错误的内容，有权要求供应商作出必要的澄清、说明或者补正。</w:t>
      </w:r>
    </w:p>
    <w:p w14:paraId="4AFB646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供应商的澄清、说明或者补正不得超出响应文件的范围或者改变响应文件的实质性内容。</w:t>
      </w:r>
    </w:p>
    <w:p w14:paraId="30333A0C">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24.2需要供应商进行澄清、说明和补正的，评审小组将通过</w:t>
      </w:r>
      <w:r>
        <w:rPr>
          <w:rFonts w:hint="eastAsia" w:ascii="宋体" w:hAnsi="宋体"/>
          <w:bCs/>
          <w:color w:val="auto"/>
          <w:sz w:val="24"/>
          <w:szCs w:val="24"/>
          <w:highlight w:val="none"/>
        </w:rPr>
        <w:t>“苏采云”系统</w:t>
      </w:r>
      <w:r>
        <w:rPr>
          <w:rFonts w:hint="eastAsia" w:ascii="宋体" w:hAnsi="宋体"/>
          <w:color w:val="auto"/>
          <w:sz w:val="24"/>
          <w:szCs w:val="24"/>
          <w:highlight w:val="none"/>
        </w:rPr>
        <w:t>向供应商发出“澄清要求函”，接到“澄清要求函”的供应商应当按照要求在</w:t>
      </w:r>
      <w:r>
        <w:rPr>
          <w:rFonts w:hint="eastAsia" w:ascii="宋体" w:hAnsi="宋体"/>
          <w:bCs/>
          <w:color w:val="auto"/>
          <w:sz w:val="24"/>
          <w:szCs w:val="24"/>
          <w:highlight w:val="none"/>
        </w:rPr>
        <w:t>“苏采云”系统</w:t>
      </w:r>
      <w:r>
        <w:rPr>
          <w:rFonts w:hint="eastAsia" w:ascii="宋体" w:hAnsi="宋体"/>
          <w:color w:val="auto"/>
          <w:sz w:val="24"/>
          <w:szCs w:val="24"/>
          <w:highlight w:val="none"/>
        </w:rPr>
        <w:t>中提交“澄清响应函”并加盖CA电子公章。澄清、说明和补正的内容作为响应文件的补充部分，具体操作方式见《操作手册》。</w:t>
      </w:r>
    </w:p>
    <w:p w14:paraId="02DAEF0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24.3接到评审小组澄清、说明和补正要求的供应商如未按规定及时做出澄清、说明和补正，其风险由供应商自行承担。</w:t>
      </w:r>
    </w:p>
    <w:p w14:paraId="2A1F0DFC">
      <w:pPr>
        <w:pStyle w:val="6"/>
        <w:keepNext w:val="0"/>
        <w:keepLines w:val="0"/>
        <w:spacing w:before="0" w:after="0" w:line="500" w:lineRule="exact"/>
        <w:ind w:firstLine="422"/>
        <w:rPr>
          <w:rFonts w:ascii="宋体" w:hAnsi="宋体" w:eastAsia="宋体"/>
          <w:bCs w:val="0"/>
          <w:color w:val="auto"/>
          <w:highlight w:val="none"/>
          <w:lang w:eastAsia="zh-CN"/>
        </w:rPr>
      </w:pPr>
      <w:bookmarkStart w:id="170" w:name="_Toc16938549"/>
      <w:bookmarkStart w:id="171" w:name="_Toc513029233"/>
      <w:bookmarkStart w:id="172" w:name="_Toc20823305"/>
      <w:r>
        <w:rPr>
          <w:rFonts w:hint="eastAsia" w:ascii="宋体" w:hAnsi="宋体" w:eastAsia="宋体"/>
          <w:bCs w:val="0"/>
          <w:color w:val="auto"/>
          <w:highlight w:val="none"/>
          <w:lang w:eastAsia="zh-CN"/>
        </w:rPr>
        <w:t>25.评审程序</w:t>
      </w:r>
    </w:p>
    <w:bookmarkEnd w:id="170"/>
    <w:bookmarkEnd w:id="171"/>
    <w:bookmarkEnd w:id="172"/>
    <w:p w14:paraId="34E7DBA3">
      <w:pPr>
        <w:spacing w:line="500" w:lineRule="exact"/>
        <w:ind w:firstLine="480"/>
        <w:rPr>
          <w:rFonts w:ascii="宋体" w:hAnsi="宋体"/>
          <w:color w:val="auto"/>
          <w:sz w:val="24"/>
          <w:highlight w:val="none"/>
        </w:rPr>
      </w:pPr>
      <w:r>
        <w:rPr>
          <w:rFonts w:hint="eastAsia" w:ascii="宋体" w:hAnsi="宋体"/>
          <w:color w:val="auto"/>
          <w:sz w:val="24"/>
          <w:highlight w:val="none"/>
        </w:rPr>
        <w:t>25.1对响应文件的审查</w:t>
      </w:r>
    </w:p>
    <w:p w14:paraId="7F13CD00">
      <w:pPr>
        <w:spacing w:line="500" w:lineRule="exact"/>
        <w:ind w:firstLine="480"/>
        <w:rPr>
          <w:rFonts w:ascii="宋体" w:hAnsi="宋体"/>
          <w:bCs/>
          <w:color w:val="auto"/>
          <w:sz w:val="24"/>
          <w:highlight w:val="none"/>
        </w:rPr>
      </w:pPr>
      <w:r>
        <w:rPr>
          <w:rFonts w:hint="eastAsia" w:ascii="宋体" w:hAnsi="宋体"/>
          <w:bCs/>
          <w:color w:val="auto"/>
          <w:sz w:val="24"/>
          <w:highlight w:val="none"/>
        </w:rPr>
        <w:t>响应文件审查分为资格审查和符合性审查。</w:t>
      </w:r>
    </w:p>
    <w:p w14:paraId="1B9ACA48">
      <w:pPr>
        <w:spacing w:line="500" w:lineRule="exact"/>
        <w:ind w:firstLine="480"/>
        <w:rPr>
          <w:rFonts w:ascii="宋体" w:hAnsi="宋体"/>
          <w:bCs/>
          <w:color w:val="auto"/>
          <w:sz w:val="24"/>
          <w:highlight w:val="none"/>
        </w:rPr>
      </w:pPr>
      <w:r>
        <w:rPr>
          <w:rFonts w:hint="eastAsia" w:ascii="宋体" w:hAnsi="宋体"/>
          <w:bCs/>
          <w:color w:val="auto"/>
          <w:sz w:val="24"/>
          <w:highlight w:val="none"/>
        </w:rPr>
        <w:t>25.1.1资格审查：依据法律法规和征集文件的规定，由评审小组对响应文件中的资格证明文件进行审查，以确定供应商是否具备参加征集活动的资格。</w:t>
      </w:r>
    </w:p>
    <w:p w14:paraId="502A68D1">
      <w:pPr>
        <w:spacing w:line="500" w:lineRule="exact"/>
        <w:ind w:firstLine="480"/>
        <w:rPr>
          <w:rFonts w:ascii="宋体" w:hAnsi="宋体" w:cs="宋体"/>
          <w:bCs/>
          <w:color w:val="auto"/>
          <w:sz w:val="24"/>
          <w:highlight w:val="none"/>
        </w:rPr>
      </w:pPr>
      <w:r>
        <w:rPr>
          <w:rFonts w:hint="eastAsia" w:ascii="宋体" w:hAnsi="宋体" w:cs="宋体"/>
          <w:bCs/>
          <w:color w:val="auto"/>
          <w:sz w:val="24"/>
          <w:highlight w:val="none"/>
        </w:rPr>
        <w:t>评审小组在进行资格审查的同时，将</w:t>
      </w:r>
      <w:r>
        <w:rPr>
          <w:rFonts w:hint="eastAsia" w:ascii="宋体" w:hAnsi="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w:t>
      </w:r>
      <w:r>
        <w:rPr>
          <w:rFonts w:hint="eastAsia" w:ascii="宋体" w:hAnsi="宋体" w:cs="宋体"/>
          <w:color w:val="auto"/>
          <w:sz w:val="24"/>
          <w:szCs w:val="24"/>
          <w:highlight w:val="none"/>
        </w:rPr>
        <w:t>中国政府采购网(www.ccgp.gov.cn)</w:t>
      </w:r>
      <w:r>
        <w:rPr>
          <w:rFonts w:hint="eastAsia" w:ascii="宋体" w:hAnsi="宋体" w:cs="宋体"/>
          <w:bCs/>
          <w:color w:val="auto"/>
          <w:sz w:val="24"/>
          <w:szCs w:val="24"/>
          <w:highlight w:val="none"/>
        </w:rPr>
        <w:t>查询供应商在提交响应文件截止时间之前，是否被列入</w:t>
      </w:r>
      <w:r>
        <w:rPr>
          <w:rFonts w:hint="eastAsia" w:ascii="宋体" w:hAnsi="宋体" w:cs="宋体"/>
          <w:color w:val="auto"/>
          <w:sz w:val="24"/>
          <w:szCs w:val="24"/>
          <w:highlight w:val="none"/>
        </w:rPr>
        <w:t>失信被执行人、重大税收违法案件当事人名单、政府采购严重违法失信行为记录名单，</w:t>
      </w:r>
      <w:bookmarkStart w:id="173" w:name="OLE_LINK3"/>
      <w:bookmarkStart w:id="174" w:name="OLE_LINK4"/>
      <w:r>
        <w:rPr>
          <w:rFonts w:hint="eastAsia" w:ascii="宋体" w:hAnsi="宋体" w:cs="宋体"/>
          <w:bCs/>
          <w:color w:val="auto"/>
          <w:sz w:val="24"/>
          <w:highlight w:val="none"/>
        </w:rPr>
        <w:t>以确定供应商是否具备参加征集活动的资格。</w:t>
      </w:r>
      <w:r>
        <w:rPr>
          <w:rFonts w:hint="eastAsia" w:ascii="宋体" w:hAnsi="宋体" w:cs="宋体"/>
          <w:color w:val="auto"/>
          <w:sz w:val="24"/>
          <w:szCs w:val="24"/>
          <w:highlight w:val="none"/>
        </w:rPr>
        <w:t>查询结果以纸质形式打印后留存并归档。</w:t>
      </w:r>
      <w:bookmarkEnd w:id="173"/>
      <w:bookmarkEnd w:id="174"/>
    </w:p>
    <w:p w14:paraId="4B11F0CB">
      <w:pPr>
        <w:spacing w:line="500" w:lineRule="exact"/>
        <w:ind w:firstLine="480"/>
        <w:rPr>
          <w:rFonts w:ascii="宋体" w:hAnsi="宋体"/>
          <w:bCs/>
          <w:color w:val="auto"/>
          <w:sz w:val="24"/>
          <w:highlight w:val="none"/>
        </w:rPr>
      </w:pPr>
      <w:r>
        <w:rPr>
          <w:rFonts w:hint="eastAsia" w:ascii="宋体" w:hAnsi="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接受联合体的项目，两个以上的自然人、法人或者其他组织组成一个联合体，以一个供应商的身份共同参加政府采购活动的,联合体成员存在不良信用记录的，视同联合体存在不良信用记录。</w:t>
      </w:r>
    </w:p>
    <w:p w14:paraId="7A2BD7CB">
      <w:pPr>
        <w:spacing w:line="500" w:lineRule="exact"/>
        <w:ind w:firstLine="480"/>
        <w:rPr>
          <w:rFonts w:ascii="宋体" w:hAnsi="宋体"/>
          <w:bCs/>
          <w:color w:val="auto"/>
          <w:sz w:val="24"/>
          <w:highlight w:val="none"/>
        </w:rPr>
      </w:pPr>
      <w:r>
        <w:rPr>
          <w:rFonts w:hint="eastAsia" w:ascii="宋体" w:hAnsi="宋体"/>
          <w:bCs/>
          <w:color w:val="auto"/>
          <w:sz w:val="24"/>
          <w:highlight w:val="none"/>
        </w:rPr>
        <w:t>25.1.2符合性审查：依据征集文件的规定，由评审小组从响应文件的有效性、完整性和对征集文件的响应程度进行审查，以确定是否对征集文件的实质性要求作出响应。</w:t>
      </w:r>
    </w:p>
    <w:p w14:paraId="0638730C">
      <w:pPr>
        <w:spacing w:line="500" w:lineRule="exact"/>
        <w:ind w:firstLine="480"/>
        <w:rPr>
          <w:rFonts w:ascii="宋体" w:hAnsi="宋体"/>
          <w:bCs/>
          <w:color w:val="auto"/>
          <w:sz w:val="24"/>
          <w:highlight w:val="none"/>
        </w:rPr>
      </w:pPr>
      <w:r>
        <w:rPr>
          <w:rFonts w:hint="eastAsia" w:ascii="宋体" w:hAnsi="宋体"/>
          <w:bCs/>
          <w:color w:val="auto"/>
          <w:sz w:val="24"/>
          <w:highlight w:val="none"/>
        </w:rPr>
        <w:t>25.</w:t>
      </w:r>
      <w:r>
        <w:rPr>
          <w:rFonts w:ascii="宋体" w:hAnsi="宋体"/>
          <w:bCs/>
          <w:color w:val="auto"/>
          <w:sz w:val="24"/>
          <w:highlight w:val="none"/>
        </w:rPr>
        <w:t>1.</w:t>
      </w:r>
      <w:r>
        <w:rPr>
          <w:rFonts w:hint="eastAsia" w:ascii="宋体" w:hAnsi="宋体"/>
          <w:bCs/>
          <w:color w:val="auto"/>
          <w:sz w:val="24"/>
          <w:highlight w:val="none"/>
        </w:rPr>
        <w:t>3未通过资格审查或符合性审查的供应商，将在</w:t>
      </w:r>
      <w:r>
        <w:rPr>
          <w:rFonts w:hint="eastAsia" w:ascii="宋体" w:hAnsi="宋体"/>
          <w:bCs/>
          <w:color w:val="auto"/>
          <w:sz w:val="24"/>
          <w:szCs w:val="24"/>
          <w:highlight w:val="none"/>
        </w:rPr>
        <w:t>“苏采云”系统</w:t>
      </w:r>
      <w:r>
        <w:rPr>
          <w:rFonts w:hint="eastAsia" w:ascii="宋体" w:hAnsi="宋体"/>
          <w:bCs/>
          <w:color w:val="auto"/>
          <w:sz w:val="24"/>
          <w:highlight w:val="none"/>
        </w:rPr>
        <w:t>中告知未通过资格审查或符合性审查的原因，</w:t>
      </w:r>
      <w:r>
        <w:rPr>
          <w:rFonts w:ascii="宋体" w:hAnsi="宋体"/>
          <w:bCs/>
          <w:color w:val="auto"/>
          <w:sz w:val="24"/>
          <w:highlight w:val="none"/>
        </w:rPr>
        <w:t>评</w:t>
      </w:r>
      <w:r>
        <w:rPr>
          <w:rFonts w:hint="eastAsia" w:ascii="宋体" w:hAnsi="宋体"/>
          <w:bCs/>
          <w:color w:val="auto"/>
          <w:sz w:val="24"/>
          <w:highlight w:val="none"/>
        </w:rPr>
        <w:t>审</w:t>
      </w:r>
      <w:r>
        <w:rPr>
          <w:rFonts w:ascii="宋体" w:hAnsi="宋体"/>
          <w:bCs/>
          <w:color w:val="auto"/>
          <w:sz w:val="24"/>
          <w:highlight w:val="none"/>
        </w:rPr>
        <w:t>结束后，将不再告知未通过资格审查和</w:t>
      </w:r>
      <w:r>
        <w:rPr>
          <w:rFonts w:hint="eastAsia" w:ascii="宋体" w:hAnsi="宋体"/>
          <w:bCs/>
          <w:color w:val="auto"/>
          <w:sz w:val="24"/>
          <w:highlight w:val="none"/>
        </w:rPr>
        <w:t>符合性</w:t>
      </w:r>
      <w:r>
        <w:rPr>
          <w:rFonts w:ascii="宋体" w:hAnsi="宋体"/>
          <w:bCs/>
          <w:color w:val="auto"/>
          <w:sz w:val="24"/>
          <w:highlight w:val="none"/>
        </w:rPr>
        <w:t>审查的原因。</w:t>
      </w:r>
    </w:p>
    <w:p w14:paraId="0B4F1DBB">
      <w:pPr>
        <w:spacing w:line="5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.2由评审小组审查每份响应文件是否实质性响应了征集文件的要求。实质性响应的响应文件应该是与征集文件要求的全部条款、条件和规格相符，没有重大偏离或保留。</w:t>
      </w:r>
    </w:p>
    <w:p w14:paraId="6018D83D">
      <w:pPr>
        <w:spacing w:line="500" w:lineRule="exact"/>
        <w:ind w:firstLine="480"/>
        <w:rPr>
          <w:rFonts w:ascii="宋体" w:hAnsi="宋体"/>
          <w:color w:val="auto"/>
          <w:sz w:val="24"/>
          <w:highlight w:val="none"/>
        </w:rPr>
      </w:pPr>
      <w:r>
        <w:rPr>
          <w:rFonts w:hint="eastAsia" w:ascii="宋体" w:hAnsi="宋体"/>
          <w:color w:val="auto"/>
          <w:sz w:val="24"/>
          <w:highlight w:val="none"/>
        </w:rPr>
        <w:t>所谓重大偏离或保留是指与征集文件规定的实质性要求存在负偏离，或者在实质上与征集文件不一致，而且限制了协议中征集人的权利或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p>
    <w:p w14:paraId="3D2572F5">
      <w:pPr>
        <w:spacing w:line="5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5</w:t>
      </w:r>
      <w:r>
        <w:rPr>
          <w:rFonts w:hint="eastAsia" w:ascii="宋体" w:hAnsi="宋体"/>
          <w:color w:val="auto"/>
          <w:sz w:val="24"/>
          <w:highlight w:val="none"/>
        </w:rPr>
        <w:t>.3如果响应文件实质上没有响应征集文件的要求，评审小组将予以拒绝，其响应文件无效，供应商不得通过修改或撤销不合要求的偏离或保留而使其响应成为实质性响应。</w:t>
      </w:r>
    </w:p>
    <w:p w14:paraId="73A5FC05">
      <w:pPr>
        <w:spacing w:line="500" w:lineRule="exact"/>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4</w:t>
      </w:r>
      <w:r>
        <w:rPr>
          <w:rFonts w:hint="eastAsia" w:ascii="宋体" w:hAnsi="宋体"/>
          <w:bCs/>
          <w:color w:val="auto"/>
          <w:sz w:val="24"/>
          <w:highlight w:val="none"/>
        </w:rPr>
        <w:t>评审小组将对确定为实质性响应的响应文件进行进一步审核，确定其是否有计算上或累加上的算术错误，修正错误的原则如下（本项目不适用）：</w:t>
      </w:r>
    </w:p>
    <w:p w14:paraId="335630C8">
      <w:pPr>
        <w:spacing w:line="500" w:lineRule="exact"/>
        <w:ind w:firstLine="480"/>
        <w:rPr>
          <w:rFonts w:ascii="宋体" w:hAnsi="宋体"/>
          <w:bCs/>
          <w:color w:val="auto"/>
          <w:sz w:val="24"/>
          <w:highlight w:val="none"/>
        </w:rPr>
      </w:pPr>
      <w:r>
        <w:rPr>
          <w:rFonts w:hint="eastAsia" w:ascii="宋体" w:hAnsi="宋体"/>
          <w:bCs/>
          <w:color w:val="auto"/>
          <w:sz w:val="24"/>
          <w:highlight w:val="none"/>
        </w:rPr>
        <w:t>（1）响应文件中报价一览表内容与响应文件中相应内容不一致的，以报价一览表为准。</w:t>
      </w:r>
    </w:p>
    <w:p w14:paraId="37692944">
      <w:pPr>
        <w:spacing w:line="500" w:lineRule="exact"/>
        <w:ind w:firstLine="480"/>
        <w:rPr>
          <w:rFonts w:ascii="宋体" w:hAnsi="宋体"/>
          <w:bCs/>
          <w:color w:val="auto"/>
          <w:sz w:val="24"/>
          <w:highlight w:val="none"/>
        </w:rPr>
      </w:pPr>
      <w:r>
        <w:rPr>
          <w:rFonts w:hint="eastAsia" w:ascii="宋体" w:hAnsi="宋体"/>
          <w:bCs/>
          <w:color w:val="auto"/>
          <w:sz w:val="24"/>
          <w:highlight w:val="none"/>
        </w:rPr>
        <w:t>（2）大写金额和小写金额不一致的，以大写金额为准。</w:t>
      </w:r>
    </w:p>
    <w:p w14:paraId="442EFF08">
      <w:pPr>
        <w:spacing w:line="500" w:lineRule="exact"/>
        <w:ind w:firstLine="480"/>
        <w:rPr>
          <w:rFonts w:ascii="宋体" w:hAnsi="宋体"/>
          <w:bCs/>
          <w:color w:val="auto"/>
          <w:sz w:val="24"/>
          <w:highlight w:val="none"/>
        </w:rPr>
      </w:pPr>
      <w:r>
        <w:rPr>
          <w:rFonts w:hint="eastAsia" w:ascii="宋体" w:hAnsi="宋体"/>
          <w:bCs/>
          <w:color w:val="auto"/>
          <w:sz w:val="24"/>
          <w:highlight w:val="none"/>
        </w:rPr>
        <w:t>（3）单价金额小数点或者百分比有明显错位的，以报价一览表的总价（总数）为准，并修改单价。</w:t>
      </w:r>
    </w:p>
    <w:p w14:paraId="6F351566">
      <w:pPr>
        <w:spacing w:line="500" w:lineRule="exact"/>
        <w:ind w:firstLine="480"/>
        <w:rPr>
          <w:rFonts w:ascii="宋体" w:hAnsi="宋体"/>
          <w:bCs/>
          <w:color w:val="auto"/>
          <w:sz w:val="24"/>
          <w:highlight w:val="none"/>
        </w:rPr>
      </w:pPr>
      <w:r>
        <w:rPr>
          <w:rFonts w:hint="eastAsia" w:ascii="宋体" w:hAnsi="宋体"/>
          <w:bCs/>
          <w:color w:val="auto"/>
          <w:sz w:val="24"/>
          <w:highlight w:val="none"/>
        </w:rPr>
        <w:t>（4）总价金额与按单价汇总金额不一致的，以单价金额计算结果为准。</w:t>
      </w:r>
    </w:p>
    <w:p w14:paraId="71A3C85F">
      <w:pPr>
        <w:spacing w:line="500" w:lineRule="exact"/>
        <w:ind w:firstLine="480"/>
        <w:rPr>
          <w:rFonts w:ascii="宋体" w:hAnsi="宋体"/>
          <w:bCs/>
          <w:color w:val="auto"/>
          <w:sz w:val="24"/>
          <w:highlight w:val="none"/>
        </w:rPr>
      </w:pPr>
      <w:r>
        <w:rPr>
          <w:rFonts w:hint="eastAsia" w:ascii="宋体" w:hAnsi="宋体"/>
          <w:bCs/>
          <w:color w:val="auto"/>
          <w:sz w:val="24"/>
          <w:highlight w:val="none"/>
        </w:rPr>
        <w:t>同时出现两种以上错误的，按照前款规定的顺序修正。</w:t>
      </w:r>
    </w:p>
    <w:p w14:paraId="6EEFCC2B">
      <w:pPr>
        <w:spacing w:line="500" w:lineRule="exact"/>
        <w:ind w:firstLine="480"/>
        <w:rPr>
          <w:rFonts w:ascii="宋体" w:hAnsi="宋体"/>
          <w:bCs/>
          <w:color w:val="auto"/>
          <w:sz w:val="24"/>
          <w:highlight w:val="none"/>
        </w:rPr>
      </w:pPr>
      <w:r>
        <w:rPr>
          <w:rFonts w:hint="eastAsia" w:ascii="宋体" w:hAnsi="宋体"/>
          <w:color w:val="auto"/>
          <w:sz w:val="24"/>
          <w:highlight w:val="none"/>
        </w:rPr>
        <w:t>25.</w:t>
      </w:r>
      <w:r>
        <w:rPr>
          <w:rFonts w:ascii="宋体" w:hAnsi="宋体"/>
          <w:color w:val="auto"/>
          <w:sz w:val="24"/>
          <w:highlight w:val="none"/>
        </w:rPr>
        <w:t>5</w:t>
      </w:r>
      <w:r>
        <w:rPr>
          <w:rFonts w:hint="eastAsia" w:ascii="宋体" w:hAnsi="宋体"/>
          <w:bCs/>
          <w:color w:val="auto"/>
          <w:sz w:val="24"/>
          <w:highlight w:val="none"/>
        </w:rPr>
        <w:t>评审小组将按上述修正错误的方法调整响应文件中的报价，并</w:t>
      </w:r>
      <w:r>
        <w:rPr>
          <w:rFonts w:ascii="宋体" w:hAnsi="宋体"/>
          <w:bCs/>
          <w:color w:val="auto"/>
          <w:sz w:val="24"/>
          <w:highlight w:val="none"/>
        </w:rPr>
        <w:t>通过</w:t>
      </w:r>
      <w:r>
        <w:rPr>
          <w:rFonts w:hint="eastAsia" w:ascii="宋体" w:hAnsi="宋体"/>
          <w:bCs/>
          <w:color w:val="auto"/>
          <w:sz w:val="24"/>
          <w:szCs w:val="24"/>
          <w:highlight w:val="none"/>
        </w:rPr>
        <w:t>“苏采云”系统</w:t>
      </w:r>
      <w:r>
        <w:rPr>
          <w:rFonts w:hint="eastAsia" w:ascii="宋体" w:hAnsi="宋体"/>
          <w:bCs/>
          <w:color w:val="auto"/>
          <w:sz w:val="24"/>
          <w:highlight w:val="none"/>
        </w:rPr>
        <w:t>告知供应商</w:t>
      </w:r>
      <w:r>
        <w:rPr>
          <w:rFonts w:ascii="宋体" w:hAnsi="宋体"/>
          <w:bCs/>
          <w:color w:val="auto"/>
          <w:sz w:val="24"/>
          <w:highlight w:val="none"/>
        </w:rPr>
        <w:t>，</w:t>
      </w:r>
      <w:r>
        <w:rPr>
          <w:rFonts w:hint="eastAsia" w:ascii="宋体" w:hAnsi="宋体"/>
          <w:bCs/>
          <w:color w:val="auto"/>
          <w:sz w:val="24"/>
          <w:highlight w:val="none"/>
        </w:rPr>
        <w:t>调整后的价格应对供应商具有约束力。如果供应商不确认或不接受修正后的价格，则其响应文件将被拒绝，其响应无效。</w:t>
      </w:r>
    </w:p>
    <w:p w14:paraId="0437D5C7">
      <w:pPr>
        <w:spacing w:line="500" w:lineRule="exact"/>
        <w:ind w:firstLine="420"/>
        <w:rPr>
          <w:rFonts w:ascii="宋体" w:hAnsi="宋体"/>
          <w:color w:val="auto"/>
          <w:sz w:val="24"/>
          <w:highlight w:val="none"/>
        </w:rPr>
      </w:pPr>
      <w:bookmarkStart w:id="175" w:name="_Toc16938550"/>
      <w:bookmarkStart w:id="176" w:name="_Toc20823306"/>
      <w:bookmarkStart w:id="177" w:name="_Toc513029234"/>
      <w:r>
        <w:rPr>
          <w:rFonts w:hint="eastAsia" w:ascii="宋体" w:hAnsi="宋体"/>
          <w:color w:val="auto"/>
          <w:sz w:val="24"/>
          <w:highlight w:val="none"/>
        </w:rPr>
        <w:t>25.6供应商在评审全过程中应保持通讯畅通，及时登录</w:t>
      </w:r>
      <w:r>
        <w:rPr>
          <w:rFonts w:hint="eastAsia" w:ascii="宋体" w:hAnsi="宋体"/>
          <w:bCs/>
          <w:color w:val="auto"/>
          <w:sz w:val="24"/>
          <w:szCs w:val="24"/>
          <w:highlight w:val="none"/>
        </w:rPr>
        <w:t>“苏采云”系统</w:t>
      </w:r>
      <w:r>
        <w:rPr>
          <w:rFonts w:hint="eastAsia" w:ascii="宋体" w:hAnsi="宋体"/>
          <w:color w:val="auto"/>
          <w:sz w:val="24"/>
          <w:highlight w:val="none"/>
        </w:rPr>
        <w:t>查阅</w:t>
      </w:r>
      <w:r>
        <w:rPr>
          <w:rFonts w:ascii="宋体" w:hAnsi="宋体"/>
          <w:color w:val="auto"/>
          <w:sz w:val="24"/>
          <w:highlight w:val="none"/>
        </w:rPr>
        <w:t>、答复相关</w:t>
      </w:r>
      <w:r>
        <w:rPr>
          <w:rFonts w:hint="eastAsia" w:ascii="宋体" w:hAnsi="宋体"/>
          <w:color w:val="auto"/>
          <w:sz w:val="24"/>
          <w:highlight w:val="none"/>
        </w:rPr>
        <w:t>信息</w:t>
      </w:r>
      <w:r>
        <w:rPr>
          <w:rFonts w:ascii="宋体" w:hAnsi="宋体"/>
          <w:color w:val="auto"/>
          <w:sz w:val="24"/>
          <w:highlight w:val="none"/>
        </w:rPr>
        <w:t>，</w:t>
      </w:r>
      <w:r>
        <w:rPr>
          <w:rFonts w:hint="eastAsia" w:ascii="宋体" w:hAnsi="宋体"/>
          <w:color w:val="auto"/>
          <w:sz w:val="24"/>
          <w:highlight w:val="none"/>
        </w:rPr>
        <w:t>并安排专人随时接受评审小组的相关询问。</w:t>
      </w:r>
    </w:p>
    <w:p w14:paraId="0683557E">
      <w:pPr>
        <w:spacing w:line="500" w:lineRule="exact"/>
        <w:ind w:firstLine="420"/>
        <w:rPr>
          <w:rFonts w:ascii="宋体" w:hAnsi="宋体"/>
          <w:color w:val="auto"/>
          <w:sz w:val="24"/>
          <w:highlight w:val="none"/>
        </w:rPr>
      </w:pPr>
      <w:r>
        <w:rPr>
          <w:rFonts w:hint="eastAsia" w:ascii="宋体" w:hAnsi="宋体"/>
          <w:color w:val="auto"/>
          <w:sz w:val="24"/>
          <w:highlight w:val="none"/>
        </w:rPr>
        <w:t>25.7</w:t>
      </w:r>
      <w:r>
        <w:rPr>
          <w:rFonts w:ascii="宋体" w:hAnsi="宋体"/>
          <w:color w:val="auto"/>
          <w:sz w:val="24"/>
          <w:szCs w:val="24"/>
          <w:highlight w:val="none"/>
        </w:rPr>
        <w:t>确定第一阶段入围供应商</w:t>
      </w:r>
      <w:r>
        <w:rPr>
          <w:rFonts w:hint="eastAsia" w:ascii="宋体" w:hAnsi="宋体"/>
          <w:color w:val="auto"/>
          <w:sz w:val="24"/>
          <w:szCs w:val="24"/>
          <w:highlight w:val="none"/>
        </w:rPr>
        <w:t>方法</w:t>
      </w:r>
      <w:r>
        <w:rPr>
          <w:rFonts w:hint="eastAsia" w:ascii="宋体"/>
          <w:bCs/>
          <w:color w:val="auto"/>
          <w:sz w:val="24"/>
          <w:szCs w:val="24"/>
          <w:highlight w:val="none"/>
        </w:rPr>
        <w:t>：</w:t>
      </w:r>
    </w:p>
    <w:p w14:paraId="729776EE">
      <w:pPr>
        <w:pStyle w:val="243"/>
        <w:spacing w:before="0" w:after="0" w:line="500" w:lineRule="exact"/>
        <w:rPr>
          <w:rFonts w:ascii="宋体" w:hAnsi="宋体"/>
          <w:bCs/>
          <w:color w:val="auto"/>
          <w:highlight w:val="none"/>
        </w:rPr>
      </w:pPr>
      <w:bookmarkStart w:id="178" w:name="OLE_LINK5"/>
      <w:bookmarkStart w:id="179" w:name="OLE_LINK60"/>
      <w:bookmarkStart w:id="180" w:name="OLE_LINK6"/>
      <w:bookmarkStart w:id="181" w:name="OLE_LINK59"/>
      <w:r>
        <w:rPr>
          <w:rFonts w:hint="eastAsia" w:ascii="宋体" w:hAnsi="宋体"/>
          <w:bCs/>
          <w:color w:val="auto"/>
          <w:highlight w:val="none"/>
        </w:rPr>
        <w:t>①由于系统原因，用封闭式框架协议通道进行本项目开放式框架协议采购，苏采云系统中必须设置第一阶段入围供应商的评审方法。第一阶段入围供应商的评审方法、评审标准等内容详见第五章《评审方法与评审标准》。</w:t>
      </w:r>
    </w:p>
    <w:p w14:paraId="14FA54F6">
      <w:pPr>
        <w:pStyle w:val="243"/>
        <w:spacing w:before="0" w:after="0" w:line="500" w:lineRule="exact"/>
        <w:rPr>
          <w:rFonts w:ascii="宋体" w:hAnsi="宋体"/>
          <w:bCs/>
          <w:color w:val="auto"/>
          <w:highlight w:val="none"/>
        </w:rPr>
      </w:pPr>
      <w:r>
        <w:rPr>
          <w:rFonts w:hint="eastAsia" w:ascii="宋体" w:hAnsi="宋体"/>
          <w:bCs/>
          <w:color w:val="auto"/>
          <w:highlight w:val="none"/>
        </w:rPr>
        <w:t>②按照中华人民共和国财政部令第110号《政府采购框架协议采购方式管理暂行办法》，本项目实际采用的评审方法为：通过审核合格（通过资格审查和符合性审查）即入围的方法，即满足审核条件和内容的供应商作为入围供应商的评审方法。</w:t>
      </w:r>
    </w:p>
    <w:bookmarkEnd w:id="178"/>
    <w:bookmarkEnd w:id="179"/>
    <w:bookmarkEnd w:id="180"/>
    <w:bookmarkEnd w:id="181"/>
    <w:p w14:paraId="304C890B">
      <w:pPr>
        <w:pStyle w:val="6"/>
        <w:keepNext w:val="0"/>
        <w:keepLines w:val="0"/>
        <w:spacing w:before="0" w:after="0" w:line="500" w:lineRule="exact"/>
        <w:ind w:firstLine="422"/>
        <w:rPr>
          <w:rFonts w:ascii="宋体" w:hAnsi="宋体" w:eastAsia="宋体"/>
          <w:b w:val="0"/>
          <w:bCs w:val="0"/>
          <w:color w:val="auto"/>
          <w:highlight w:val="none"/>
          <w:lang w:eastAsia="zh-CN"/>
        </w:rPr>
      </w:pPr>
      <w:r>
        <w:rPr>
          <w:rFonts w:hint="eastAsia" w:ascii="宋体" w:hAnsi="宋体" w:eastAsia="宋体"/>
          <w:b w:val="0"/>
          <w:bCs w:val="0"/>
          <w:color w:val="auto"/>
          <w:highlight w:val="none"/>
          <w:lang w:eastAsia="zh-CN"/>
        </w:rPr>
        <w:t>26</w:t>
      </w:r>
      <w:bookmarkEnd w:id="175"/>
      <w:bookmarkEnd w:id="176"/>
      <w:bookmarkEnd w:id="177"/>
      <w:r>
        <w:rPr>
          <w:rFonts w:hint="eastAsia" w:ascii="宋体" w:hAnsi="宋体" w:eastAsia="宋体"/>
          <w:b w:val="0"/>
          <w:bCs w:val="0"/>
          <w:color w:val="auto"/>
          <w:highlight w:val="none"/>
          <w:lang w:eastAsia="zh-CN"/>
        </w:rPr>
        <w:t>.响应文件无效情形和征集活动终止情形</w:t>
      </w:r>
    </w:p>
    <w:p w14:paraId="2F8104F6">
      <w:pPr>
        <w:spacing w:line="500" w:lineRule="exact"/>
        <w:ind w:left="479"/>
        <w:rPr>
          <w:rFonts w:ascii="宋体" w:hAnsi="宋体"/>
          <w:bCs/>
          <w:color w:val="auto"/>
          <w:sz w:val="24"/>
          <w:highlight w:val="none"/>
        </w:rPr>
      </w:pPr>
      <w:bookmarkStart w:id="182" w:name="_Toc513029235"/>
      <w:bookmarkStart w:id="183" w:name="_Toc20823307"/>
      <w:bookmarkStart w:id="184" w:name="_Toc16938551"/>
      <w:r>
        <w:rPr>
          <w:rFonts w:hint="eastAsia" w:ascii="宋体" w:hAnsi="宋体"/>
          <w:bCs/>
          <w:color w:val="auto"/>
          <w:sz w:val="24"/>
          <w:highlight w:val="none"/>
        </w:rPr>
        <w:t>26.1响应文件无效情形</w:t>
      </w:r>
    </w:p>
    <w:p w14:paraId="55C6EC5E">
      <w:pPr>
        <w:spacing w:line="500" w:lineRule="exact"/>
        <w:ind w:firstLine="480"/>
        <w:rPr>
          <w:rFonts w:ascii="宋体" w:hAnsi="宋体"/>
          <w:bCs/>
          <w:color w:val="auto"/>
          <w:sz w:val="24"/>
          <w:szCs w:val="24"/>
          <w:highlight w:val="none"/>
        </w:rPr>
      </w:pPr>
      <w:r>
        <w:rPr>
          <w:rFonts w:hint="eastAsia" w:ascii="宋体" w:hAnsi="宋体"/>
          <w:bCs/>
          <w:color w:val="auto"/>
          <w:sz w:val="24"/>
          <w:highlight w:val="none"/>
        </w:rPr>
        <w:t>26</w:t>
      </w:r>
      <w:r>
        <w:rPr>
          <w:rFonts w:hint="eastAsia" w:ascii="宋体" w:hAnsi="宋体"/>
          <w:bCs/>
          <w:color w:val="auto"/>
          <w:sz w:val="24"/>
          <w:szCs w:val="24"/>
          <w:highlight w:val="none"/>
        </w:rPr>
        <w:t>.1.1</w:t>
      </w:r>
      <w:r>
        <w:rPr>
          <w:rFonts w:hint="eastAsia" w:ascii="宋体" w:hAnsi="宋体"/>
          <w:color w:val="auto"/>
          <w:sz w:val="24"/>
          <w:szCs w:val="24"/>
          <w:highlight w:val="none"/>
        </w:rPr>
        <w:t>未按《“苏采云”系统供应商操作手册》进行正确操作的。</w:t>
      </w:r>
    </w:p>
    <w:p w14:paraId="5496FBE8">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26.1.2供应商在“苏采云”系统规定的时间内未成功解密电子响应文件的。</w:t>
      </w:r>
    </w:p>
    <w:p w14:paraId="727C12E8">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26.1.3供应商</w:t>
      </w:r>
      <w:r>
        <w:rPr>
          <w:rFonts w:hint="eastAsia" w:ascii="宋体" w:hAnsi="宋体"/>
          <w:bCs/>
          <w:color w:val="auto"/>
          <w:sz w:val="24"/>
          <w:highlight w:val="none"/>
        </w:rPr>
        <w:t>未按照征集文件要求上传电子响应文件、</w:t>
      </w:r>
      <w:r>
        <w:rPr>
          <w:rFonts w:hint="eastAsia" w:ascii="宋体" w:hAnsi="宋体"/>
          <w:bCs/>
          <w:color w:val="auto"/>
          <w:sz w:val="24"/>
          <w:szCs w:val="24"/>
          <w:highlight w:val="none"/>
        </w:rPr>
        <w:t>电子响应文件未按规定期限提交的</w:t>
      </w:r>
      <w:bookmarkStart w:id="185" w:name="OLE_LINK78"/>
      <w:bookmarkStart w:id="186" w:name="OLE_LINK77"/>
      <w:r>
        <w:rPr>
          <w:rFonts w:hint="eastAsia" w:ascii="宋体" w:hAnsi="宋体"/>
          <w:bCs/>
          <w:color w:val="auto"/>
          <w:sz w:val="24"/>
          <w:szCs w:val="24"/>
          <w:highlight w:val="none"/>
        </w:rPr>
        <w:t>，纸质响应文件（如有）未按规定的期限、地点送达的</w:t>
      </w:r>
      <w:bookmarkEnd w:id="185"/>
      <w:bookmarkEnd w:id="186"/>
      <w:r>
        <w:rPr>
          <w:rFonts w:hint="eastAsia" w:ascii="宋体" w:hAnsi="宋体"/>
          <w:bCs/>
          <w:color w:val="auto"/>
          <w:sz w:val="24"/>
          <w:szCs w:val="24"/>
          <w:highlight w:val="none"/>
        </w:rPr>
        <w:t>。</w:t>
      </w:r>
    </w:p>
    <w:p w14:paraId="5D5A784E">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26.1.4供应商</w:t>
      </w:r>
      <w:r>
        <w:rPr>
          <w:rFonts w:hint="eastAsia" w:ascii="宋体" w:hAnsi="宋体"/>
          <w:bCs/>
          <w:color w:val="auto"/>
          <w:sz w:val="24"/>
          <w:highlight w:val="none"/>
        </w:rPr>
        <w:t>的</w:t>
      </w:r>
      <w:r>
        <w:rPr>
          <w:rFonts w:hint="eastAsia" w:ascii="宋体" w:hAnsi="宋体"/>
          <w:bCs/>
          <w:color w:val="auto"/>
          <w:sz w:val="24"/>
          <w:szCs w:val="24"/>
          <w:highlight w:val="none"/>
        </w:rPr>
        <w:t>电子响应文件未按征集文件要求签章的。</w:t>
      </w:r>
    </w:p>
    <w:p w14:paraId="7A43EC57">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26.1.5供应商的被授权代表无授权委托书或授权委托日期晚于提交响应文件截止日期的。</w:t>
      </w:r>
    </w:p>
    <w:p w14:paraId="0C3ADDCD">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26.1.6供应商不具备征集文件中规定的资格要求或未按征集文件规定的要求提供资格证明文件的。</w:t>
      </w:r>
    </w:p>
    <w:p w14:paraId="419AF748">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26.1.7</w:t>
      </w:r>
      <w:r>
        <w:rPr>
          <w:rFonts w:hint="eastAsia" w:ascii="宋体" w:hAnsi="宋体"/>
          <w:bCs/>
          <w:color w:val="auto"/>
          <w:sz w:val="24"/>
          <w:highlight w:val="none"/>
        </w:rPr>
        <w:t>同一</w:t>
      </w:r>
      <w:r>
        <w:rPr>
          <w:rFonts w:hint="eastAsia" w:ascii="宋体" w:hAnsi="宋体"/>
          <w:bCs/>
          <w:color w:val="auto"/>
          <w:sz w:val="24"/>
          <w:szCs w:val="24"/>
          <w:highlight w:val="none"/>
        </w:rPr>
        <w:t>供应商</w:t>
      </w:r>
      <w:r>
        <w:rPr>
          <w:rFonts w:hint="eastAsia" w:ascii="宋体" w:hAnsi="宋体"/>
          <w:bCs/>
          <w:color w:val="auto"/>
          <w:sz w:val="24"/>
          <w:highlight w:val="none"/>
        </w:rPr>
        <w:t>提交了两种（含两种）以上不同报价的。</w:t>
      </w:r>
    </w:p>
    <w:p w14:paraId="721F096A">
      <w:pPr>
        <w:spacing w:line="500" w:lineRule="exact"/>
        <w:ind w:firstLine="480"/>
        <w:rPr>
          <w:rFonts w:ascii="宋体" w:hAnsi="宋体"/>
          <w:bCs/>
          <w:color w:val="auto"/>
          <w:sz w:val="24"/>
          <w:szCs w:val="24"/>
          <w:highlight w:val="none"/>
        </w:rPr>
      </w:pPr>
      <w:r>
        <w:rPr>
          <w:rFonts w:hint="eastAsia" w:ascii="宋体" w:hAnsi="宋体"/>
          <w:color w:val="auto"/>
          <w:sz w:val="24"/>
          <w:szCs w:val="24"/>
          <w:highlight w:val="none"/>
        </w:rPr>
        <w:t>26.1.8</w:t>
      </w:r>
      <w:r>
        <w:rPr>
          <w:rFonts w:hint="eastAsia" w:ascii="宋体" w:hAnsi="宋体"/>
          <w:bCs/>
          <w:color w:val="auto"/>
          <w:sz w:val="24"/>
          <w:szCs w:val="24"/>
          <w:highlight w:val="none"/>
        </w:rPr>
        <w:t>供应商</w:t>
      </w:r>
      <w:r>
        <w:rPr>
          <w:rFonts w:hint="eastAsia" w:ascii="宋体" w:hAnsi="宋体"/>
          <w:color w:val="auto"/>
          <w:sz w:val="24"/>
          <w:szCs w:val="24"/>
          <w:highlight w:val="none"/>
        </w:rPr>
        <w:t>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）、中国政府采购网(www.ccgp.gov.cn)列入失信被执行人或重大税收违法案件当事人名单或政府采购严重违法失信行为记录名单的。</w:t>
      </w:r>
      <w:r>
        <w:rPr>
          <w:rFonts w:hint="eastAsia" w:ascii="宋体" w:hAnsi="宋体"/>
          <w:bCs/>
          <w:color w:val="auto"/>
          <w:sz w:val="24"/>
          <w:highlight w:val="none"/>
        </w:rPr>
        <w:t>或查询“信用中国”网站、</w:t>
      </w:r>
      <w:r>
        <w:rPr>
          <w:rFonts w:hint="eastAsia" w:ascii="宋体" w:hAnsi="宋体"/>
          <w:color w:val="auto"/>
          <w:sz w:val="24"/>
          <w:szCs w:val="24"/>
          <w:highlight w:val="none"/>
        </w:rPr>
        <w:t>中国政府采购网</w:t>
      </w:r>
      <w:r>
        <w:rPr>
          <w:rFonts w:hint="eastAsia" w:ascii="宋体" w:hAnsi="宋体"/>
          <w:bCs/>
          <w:color w:val="auto"/>
          <w:sz w:val="24"/>
          <w:highlight w:val="none"/>
        </w:rPr>
        <w:t>后发现供应商存在其他不符合《中华人民共和国政府采购法》第二十二条规定条件的信用记录。</w:t>
      </w:r>
    </w:p>
    <w:p w14:paraId="1A65B1EF">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26.1.9响应文件未按征集文件规定的内容和要求填写的。</w:t>
      </w:r>
    </w:p>
    <w:p w14:paraId="25969BD1">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26.1.10供应商报价超过本征集文件规定的最高限制单价的。</w:t>
      </w:r>
    </w:p>
    <w:p w14:paraId="6F7AD669">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26.1.11未通过符合性审查的。</w:t>
      </w:r>
    </w:p>
    <w:p w14:paraId="297CB37F">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26.1.12响应文件含有征集人不能接受的附加条件的。</w:t>
      </w:r>
    </w:p>
    <w:p w14:paraId="5D6A5986">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26.1.13电子响应文件图片、字迹模糊不清、无法辨认导致无法评审的。</w:t>
      </w:r>
    </w:p>
    <w:p w14:paraId="4ADDDEC9">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26.1.14响应文件中有征集文件未允许提供的选择性内容。</w:t>
      </w:r>
    </w:p>
    <w:p w14:paraId="569928B3">
      <w:pPr>
        <w:spacing w:line="500" w:lineRule="exact"/>
        <w:ind w:firstLine="480"/>
        <w:rPr>
          <w:rFonts w:ascii="宋体" w:hAnsi="宋体"/>
          <w:bCs/>
          <w:color w:val="auto"/>
          <w:sz w:val="24"/>
          <w:szCs w:val="24"/>
          <w:highlight w:val="none"/>
        </w:rPr>
      </w:pPr>
      <w:r>
        <w:rPr>
          <w:rFonts w:hint="eastAsia" w:ascii="宋体" w:hAnsi="宋体"/>
          <w:bCs/>
          <w:color w:val="auto"/>
          <w:sz w:val="24"/>
          <w:highlight w:val="none"/>
        </w:rPr>
        <w:t>26.1.15</w:t>
      </w:r>
      <w:r>
        <w:rPr>
          <w:rFonts w:hint="eastAsia" w:ascii="宋体" w:hAnsi="宋体"/>
          <w:bCs/>
          <w:color w:val="auto"/>
          <w:sz w:val="24"/>
          <w:szCs w:val="24"/>
          <w:highlight w:val="none"/>
        </w:rPr>
        <w:t>不同供应商委托同一单位或者个人办理征集活动事宜的。</w:t>
      </w:r>
    </w:p>
    <w:p w14:paraId="248DE628">
      <w:pPr>
        <w:spacing w:line="500" w:lineRule="exact"/>
        <w:ind w:firstLine="480"/>
        <w:rPr>
          <w:rFonts w:ascii="宋体" w:hAnsi="宋体"/>
          <w:bCs/>
          <w:color w:val="auto"/>
          <w:sz w:val="24"/>
          <w:highlight w:val="none"/>
        </w:rPr>
      </w:pPr>
      <w:r>
        <w:rPr>
          <w:rFonts w:hint="eastAsia" w:ascii="宋体" w:hAnsi="宋体"/>
          <w:bCs/>
          <w:color w:val="auto"/>
          <w:sz w:val="24"/>
          <w:highlight w:val="none"/>
        </w:rPr>
        <w:t>26.1.16</w:t>
      </w:r>
      <w:r>
        <w:rPr>
          <w:rFonts w:hint="eastAsia" w:ascii="宋体" w:hAnsi="宋体"/>
          <w:bCs/>
          <w:color w:val="auto"/>
          <w:sz w:val="24"/>
          <w:szCs w:val="24"/>
          <w:highlight w:val="none"/>
        </w:rPr>
        <w:t>不同供应商的单位负责人为同一人或者存在直接控股、管理关系的。</w:t>
      </w:r>
    </w:p>
    <w:p w14:paraId="55F1B87E">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26.1.17不同供应商的响应文件的装订形式、纸张情况、目录序号、排版格式、文字风格等存在明显的相似性或一致性，特征显示由同一单位或者同一个人编制的。</w:t>
      </w:r>
    </w:p>
    <w:p w14:paraId="0EC00A67">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26.1.18不同供应商响应文件内容存在非正常一致、项目组成员出现同一人、响应文件中错误（或异常）一致或雷同、电子文档信息一致或雷同的、报价呈规律性差异的。</w:t>
      </w:r>
    </w:p>
    <w:p w14:paraId="012E89E7">
      <w:pPr>
        <w:spacing w:line="500" w:lineRule="exact"/>
        <w:ind w:firstLine="480"/>
        <w:rPr>
          <w:rFonts w:ascii="宋体" w:hAnsi="宋体"/>
          <w:bCs/>
          <w:color w:val="auto"/>
          <w:sz w:val="24"/>
          <w:highlight w:val="none"/>
        </w:rPr>
      </w:pPr>
      <w:r>
        <w:rPr>
          <w:rFonts w:hint="eastAsia" w:ascii="宋体" w:hAnsi="宋体"/>
          <w:bCs/>
          <w:color w:val="auto"/>
          <w:sz w:val="24"/>
          <w:highlight w:val="none"/>
        </w:rPr>
        <w:t>26.1.19不同供应商的响应资料相互混装、不同供应商的委托代理人、项目负责人以及其他相关人员有在同一个单位缴纳社会保险、同一响应文件中单位名称落款与公章不是同一单位的。</w:t>
      </w:r>
    </w:p>
    <w:p w14:paraId="669E6509">
      <w:pPr>
        <w:spacing w:line="500" w:lineRule="exact"/>
        <w:ind w:firstLine="480"/>
        <w:rPr>
          <w:rFonts w:ascii="宋体" w:hAnsi="宋体"/>
          <w:bCs/>
          <w:color w:val="auto"/>
          <w:sz w:val="24"/>
          <w:highlight w:val="none"/>
        </w:rPr>
      </w:pPr>
      <w:r>
        <w:rPr>
          <w:rFonts w:hint="eastAsia" w:ascii="宋体" w:hAnsi="宋体"/>
          <w:bCs/>
          <w:color w:val="auto"/>
          <w:sz w:val="24"/>
          <w:highlight w:val="none"/>
        </w:rPr>
        <w:t>26.1.20</w:t>
      </w:r>
      <w:r>
        <w:rPr>
          <w:rFonts w:hint="eastAsia" w:ascii="宋体" w:hAnsi="宋体"/>
          <w:bCs/>
          <w:color w:val="auto"/>
          <w:sz w:val="24"/>
          <w:szCs w:val="24"/>
          <w:highlight w:val="none"/>
        </w:rPr>
        <w:t>提供虚假材料的（包括工商营业执照、财务报表、资格证明文件等）。</w:t>
      </w:r>
    </w:p>
    <w:p w14:paraId="44A3C2EF">
      <w:pPr>
        <w:spacing w:line="500" w:lineRule="exact"/>
        <w:ind w:firstLine="480"/>
        <w:rPr>
          <w:rFonts w:ascii="宋体" w:hAnsi="宋体"/>
          <w:bCs/>
          <w:color w:val="auto"/>
          <w:sz w:val="24"/>
          <w:highlight w:val="none"/>
        </w:rPr>
      </w:pPr>
      <w:r>
        <w:rPr>
          <w:rFonts w:hint="eastAsia" w:ascii="宋体" w:hAnsi="宋体"/>
          <w:bCs/>
          <w:color w:val="auto"/>
          <w:sz w:val="24"/>
          <w:highlight w:val="none"/>
        </w:rPr>
        <w:t>26.1.21</w:t>
      </w:r>
      <w:r>
        <w:rPr>
          <w:rFonts w:hint="eastAsia" w:ascii="宋体" w:hAnsi="宋体"/>
          <w:bCs/>
          <w:color w:val="auto"/>
          <w:sz w:val="24"/>
          <w:szCs w:val="24"/>
          <w:highlight w:val="none"/>
        </w:rPr>
        <w:t>除单一来源采购项目外，为采购项目提供整体设计、规范编制或者项目管理、监理、检测等服务的。</w:t>
      </w:r>
    </w:p>
    <w:p w14:paraId="11842410">
      <w:pPr>
        <w:spacing w:line="500" w:lineRule="exact"/>
        <w:ind w:firstLine="480"/>
        <w:rPr>
          <w:rFonts w:ascii="宋体" w:hAnsi="宋体"/>
          <w:bCs/>
          <w:color w:val="auto"/>
          <w:sz w:val="24"/>
          <w:highlight w:val="none"/>
        </w:rPr>
      </w:pPr>
      <w:r>
        <w:rPr>
          <w:rFonts w:hint="eastAsia" w:ascii="宋体" w:hAnsi="宋体"/>
          <w:bCs/>
          <w:color w:val="auto"/>
          <w:sz w:val="24"/>
          <w:szCs w:val="24"/>
          <w:highlight w:val="none"/>
        </w:rPr>
        <w:t>26.1.22评审小组认定供应商的报价明显低于其他通过符合性审查供应商的报价，有可能影响产品质量或者不能诚信履约的，应当按照《关于推动解决政府采购异常低价问题相关工作的通知》（苏财购〔2025〕62号）要求，启动异常低价投标（响应）审查程序。</w:t>
      </w:r>
      <w:r>
        <w:rPr>
          <w:rFonts w:hint="eastAsia" w:ascii="宋体" w:hAnsi="宋体"/>
          <w:bCs/>
          <w:color w:val="auto"/>
          <w:sz w:val="24"/>
          <w:highlight w:val="none"/>
        </w:rPr>
        <w:t>出现征集文件规定的异常低价情形，</w:t>
      </w:r>
      <w:r>
        <w:rPr>
          <w:rFonts w:hint="eastAsia" w:ascii="宋体" w:hAnsi="宋体"/>
          <w:bCs/>
          <w:color w:val="auto"/>
          <w:sz w:val="24"/>
          <w:szCs w:val="24"/>
          <w:highlight w:val="none"/>
        </w:rPr>
        <w:t>评审小组</w:t>
      </w:r>
      <w:r>
        <w:rPr>
          <w:rFonts w:hint="eastAsia" w:ascii="宋体" w:hAnsi="宋体"/>
          <w:bCs/>
          <w:color w:val="auto"/>
          <w:sz w:val="24"/>
          <w:highlight w:val="none"/>
        </w:rPr>
        <w:t>未启动异常低价审查或未对异常低价情形作出认定意见的，采购人应及时报告同级财政部门，由财政部门按照《中华人民共和国政府采购法实施条例》第七十五条追究评审专家的法律责任。</w:t>
      </w:r>
    </w:p>
    <w:p w14:paraId="080396AD">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评审小组启动异常低价投标（响应）审查的情形和具体要求，包括：</w:t>
      </w:r>
    </w:p>
    <w:p w14:paraId="104559BD">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（1）评审过程中出现下列情形之一的，评审小组应当启动异常低价投标（响应）审查程序：</w:t>
      </w:r>
    </w:p>
    <w:p w14:paraId="60A3E1B0">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①投标（响应）报价低于采购项目预算50%的，即投标（响应）报价&lt;采购项目预算×50%；</w:t>
      </w:r>
    </w:p>
    <w:p w14:paraId="130C1D4B">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②投标（响应）报价低于采购项目最高限价45%的，即投标（响应）报价&lt;采购项目最高限价×45%；</w:t>
      </w:r>
    </w:p>
    <w:p w14:paraId="48EA4ABF">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③评审小组认定的供应商报价过低、有可能影响产品质量或者不能诚信履约的其他情形。</w:t>
      </w:r>
    </w:p>
    <w:p w14:paraId="3BF07B1E">
      <w:pPr>
        <w:spacing w:line="500" w:lineRule="exact"/>
        <w:ind w:firstLine="480"/>
        <w:rPr>
          <w:rFonts w:ascii="宋体" w:hAnsi="宋体"/>
          <w:bCs/>
          <w:color w:val="auto"/>
          <w:sz w:val="24"/>
          <w:highlight w:val="none"/>
          <w:shd w:val="clear" w:color="FFFFFF" w:fill="D9D9D9"/>
        </w:rPr>
      </w:pPr>
      <w:r>
        <w:rPr>
          <w:rFonts w:hint="eastAsia" w:ascii="宋体" w:hAnsi="宋体"/>
          <w:bCs/>
          <w:color w:val="auto"/>
          <w:sz w:val="24"/>
          <w:szCs w:val="24"/>
          <w:highlight w:val="none"/>
        </w:rPr>
        <w:t>（2）启动异常低价投标（响应）审查后，评审小组应当要求相关供应商通过“苏采云”系统（或在评标现场）在给定的合理时间内，提供项目具体成本测算等与报价合理性相关的书面说明及相关证明材料，对投标（响应）价格作出解释，由评审小组结合同类产品在主要电商平台的价格、该行业当地薪资水平等情况，依据专业经验对供应商报价合理性进行判断。投标（响应）供应商不提供书面说明、证明材料，或者提供的书面说明、证明材料不能证明其报价合理性的，评审小组应当将其作为无效投标（响应）处理。审查相关情况应当在评审报告中进行记录。</w:t>
      </w:r>
      <w:bookmarkStart w:id="187" w:name="OLE_LINK79"/>
      <w:bookmarkStart w:id="188" w:name="OLE_LINK80"/>
      <w:r>
        <w:rPr>
          <w:rFonts w:hint="eastAsia" w:ascii="宋体" w:hAnsi="宋体"/>
          <w:b/>
          <w:bCs/>
          <w:color w:val="auto"/>
          <w:sz w:val="24"/>
          <w:szCs w:val="24"/>
          <w:highlight w:val="none"/>
        </w:rPr>
        <w:t>（本项目不适用）</w:t>
      </w:r>
      <w:bookmarkEnd w:id="187"/>
      <w:bookmarkEnd w:id="188"/>
    </w:p>
    <w:p w14:paraId="652028DB">
      <w:pPr>
        <w:spacing w:line="500" w:lineRule="exact"/>
        <w:ind w:firstLine="480"/>
        <w:rPr>
          <w:rFonts w:ascii="宋体" w:hAnsi="宋体"/>
          <w:bCs/>
          <w:color w:val="auto"/>
          <w:sz w:val="24"/>
          <w:highlight w:val="none"/>
        </w:rPr>
      </w:pPr>
      <w:r>
        <w:rPr>
          <w:rFonts w:hint="eastAsia" w:ascii="宋体" w:hAnsi="宋体"/>
          <w:bCs/>
          <w:color w:val="auto"/>
          <w:sz w:val="24"/>
          <w:szCs w:val="24"/>
          <w:highlight w:val="none"/>
        </w:rPr>
        <w:t>26.1.23响应文件内容不全或不符合征集文件中规定的其他实质性要求和条件的。</w:t>
      </w:r>
    </w:p>
    <w:p w14:paraId="1DB2C752">
      <w:pPr>
        <w:spacing w:line="500" w:lineRule="exact"/>
        <w:ind w:firstLine="480"/>
        <w:rPr>
          <w:rFonts w:ascii="宋体" w:hAnsi="宋体"/>
          <w:bCs/>
          <w:color w:val="auto"/>
          <w:sz w:val="24"/>
          <w:highlight w:val="none"/>
        </w:rPr>
      </w:pPr>
      <w:r>
        <w:rPr>
          <w:rFonts w:hint="eastAsia" w:ascii="宋体" w:hAnsi="宋体"/>
          <w:bCs/>
          <w:color w:val="auto"/>
          <w:sz w:val="24"/>
          <w:highlight w:val="none"/>
        </w:rPr>
        <w:t>26.1.24其他法律、法规及本征集文件规定的属无效响应的情形。</w:t>
      </w:r>
    </w:p>
    <w:p w14:paraId="220823BD">
      <w:pPr>
        <w:spacing w:line="500" w:lineRule="exact"/>
        <w:ind w:left="479"/>
        <w:rPr>
          <w:rFonts w:ascii="宋体" w:hAnsi="宋体"/>
          <w:bCs/>
          <w:color w:val="auto"/>
          <w:sz w:val="24"/>
          <w:highlight w:val="none"/>
        </w:rPr>
      </w:pPr>
      <w:r>
        <w:rPr>
          <w:rFonts w:hint="eastAsia" w:ascii="宋体" w:hAnsi="宋体"/>
          <w:bCs/>
          <w:color w:val="auto"/>
          <w:sz w:val="24"/>
          <w:highlight w:val="none"/>
        </w:rPr>
        <w:t>26.2征集活动终止情形</w:t>
      </w:r>
    </w:p>
    <w:p w14:paraId="6D7E5FF2">
      <w:pPr>
        <w:spacing w:line="500" w:lineRule="exact"/>
        <w:ind w:firstLine="480"/>
        <w:rPr>
          <w:rFonts w:ascii="宋体" w:hAnsi="宋体"/>
          <w:bCs/>
          <w:color w:val="auto"/>
          <w:sz w:val="24"/>
          <w:highlight w:val="none"/>
        </w:rPr>
      </w:pPr>
      <w:r>
        <w:rPr>
          <w:rFonts w:hint="eastAsia" w:ascii="宋体" w:hAnsi="宋体"/>
          <w:bCs/>
          <w:color w:val="auto"/>
          <w:sz w:val="24"/>
          <w:highlight w:val="none"/>
        </w:rPr>
        <w:t>26.2.1在“苏采云”系统规定时间内成功解密电子响应文件的供应商不足2家的。</w:t>
      </w:r>
    </w:p>
    <w:p w14:paraId="2BC023AE">
      <w:pPr>
        <w:spacing w:line="500" w:lineRule="exact"/>
        <w:ind w:firstLine="480"/>
        <w:rPr>
          <w:rFonts w:ascii="宋体" w:hAnsi="宋体"/>
          <w:bCs/>
          <w:color w:val="auto"/>
          <w:sz w:val="24"/>
          <w:highlight w:val="none"/>
        </w:rPr>
      </w:pPr>
      <w:r>
        <w:rPr>
          <w:rFonts w:hint="eastAsia" w:ascii="宋体" w:hAnsi="宋体"/>
          <w:bCs/>
          <w:color w:val="auto"/>
          <w:sz w:val="24"/>
          <w:szCs w:val="24"/>
          <w:highlight w:val="none"/>
        </w:rPr>
        <w:t>26.2.2</w:t>
      </w:r>
      <w:r>
        <w:rPr>
          <w:rFonts w:hint="eastAsia" w:ascii="宋体" w:hAnsi="宋体"/>
          <w:bCs/>
          <w:color w:val="auto"/>
          <w:sz w:val="24"/>
          <w:highlight w:val="none"/>
        </w:rPr>
        <w:t>出现影响采购公正的违法、违规行为的。</w:t>
      </w:r>
    </w:p>
    <w:p w14:paraId="017163EE">
      <w:pPr>
        <w:spacing w:line="500" w:lineRule="exact"/>
        <w:ind w:left="479"/>
        <w:rPr>
          <w:rFonts w:ascii="宋体" w:hAnsi="宋体"/>
          <w:bCs/>
          <w:color w:val="auto"/>
          <w:sz w:val="24"/>
          <w:highlight w:val="none"/>
        </w:rPr>
      </w:pPr>
      <w:r>
        <w:rPr>
          <w:rFonts w:hint="eastAsia" w:ascii="宋体" w:hAnsi="宋体"/>
          <w:bCs/>
          <w:color w:val="auto"/>
          <w:sz w:val="24"/>
          <w:highlight w:val="none"/>
        </w:rPr>
        <w:t>26.2.3在采购活动中因重大变故，采购任务取消的。</w:t>
      </w:r>
    </w:p>
    <w:p w14:paraId="1DC5C471">
      <w:pPr>
        <w:spacing w:line="500" w:lineRule="exact"/>
        <w:ind w:left="479"/>
        <w:rPr>
          <w:rFonts w:ascii="宋体" w:hAnsi="宋体"/>
          <w:bCs/>
          <w:color w:val="auto"/>
          <w:sz w:val="24"/>
          <w:highlight w:val="none"/>
        </w:rPr>
      </w:pPr>
      <w:r>
        <w:rPr>
          <w:rFonts w:hint="eastAsia" w:ascii="宋体" w:hAnsi="宋体"/>
          <w:bCs/>
          <w:color w:val="auto"/>
          <w:sz w:val="24"/>
          <w:highlight w:val="none"/>
        </w:rPr>
        <w:t>26.2.4因情况变化，不再符合规定的开放式框架协议采购方式适用情形的。</w:t>
      </w:r>
    </w:p>
    <w:p w14:paraId="79960162">
      <w:pPr>
        <w:pStyle w:val="5"/>
        <w:keepNext w:val="0"/>
        <w:keepLines w:val="0"/>
        <w:spacing w:before="0" w:after="0" w:line="500" w:lineRule="exact"/>
        <w:ind w:firstLine="452"/>
        <w:rPr>
          <w:color w:val="auto"/>
          <w:sz w:val="30"/>
          <w:szCs w:val="30"/>
          <w:highlight w:val="none"/>
          <w:lang w:eastAsia="zh-CN"/>
        </w:rPr>
      </w:pPr>
      <w:bookmarkStart w:id="189" w:name="_Toc120614219"/>
      <w:r>
        <w:rPr>
          <w:rFonts w:hint="eastAsia"/>
          <w:color w:val="auto"/>
          <w:sz w:val="30"/>
          <w:szCs w:val="30"/>
          <w:highlight w:val="none"/>
          <w:lang w:eastAsia="zh-CN"/>
        </w:rPr>
        <w:t>六、</w:t>
      </w:r>
      <w:bookmarkEnd w:id="182"/>
      <w:bookmarkEnd w:id="183"/>
      <w:bookmarkEnd w:id="184"/>
      <w:bookmarkEnd w:id="189"/>
      <w:r>
        <w:rPr>
          <w:rFonts w:hint="eastAsia"/>
          <w:color w:val="auto"/>
          <w:sz w:val="30"/>
          <w:szCs w:val="30"/>
          <w:highlight w:val="none"/>
          <w:lang w:eastAsia="zh-CN"/>
        </w:rPr>
        <w:t>入围及成交</w:t>
      </w:r>
    </w:p>
    <w:p w14:paraId="76C8B071">
      <w:pPr>
        <w:pStyle w:val="6"/>
        <w:keepNext w:val="0"/>
        <w:keepLines w:val="0"/>
        <w:spacing w:before="0" w:after="0" w:line="500" w:lineRule="exact"/>
        <w:ind w:firstLine="422"/>
        <w:rPr>
          <w:rFonts w:ascii="宋体" w:hAnsi="宋体" w:eastAsia="宋体"/>
          <w:bCs w:val="0"/>
          <w:color w:val="auto"/>
          <w:highlight w:val="none"/>
          <w:lang w:eastAsia="zh-CN"/>
        </w:rPr>
      </w:pPr>
      <w:bookmarkStart w:id="190" w:name="_Toc20823310"/>
      <w:bookmarkStart w:id="191" w:name="_Toc16938554"/>
      <w:r>
        <w:rPr>
          <w:rFonts w:hint="eastAsia" w:ascii="宋体" w:hAnsi="宋体" w:eastAsia="宋体"/>
          <w:bCs w:val="0"/>
          <w:color w:val="auto"/>
          <w:highlight w:val="none"/>
          <w:lang w:eastAsia="zh-CN"/>
        </w:rPr>
        <w:t>27.入围</w:t>
      </w:r>
    </w:p>
    <w:p w14:paraId="4154DA04">
      <w:pPr>
        <w:spacing w:line="500" w:lineRule="exact"/>
        <w:ind w:firstLine="480"/>
        <w:rPr>
          <w:rFonts w:ascii="宋体" w:hAnsi="宋体"/>
          <w:bCs/>
          <w:color w:val="auto"/>
          <w:sz w:val="24"/>
          <w:highlight w:val="none"/>
        </w:rPr>
      </w:pPr>
      <w:r>
        <w:rPr>
          <w:rFonts w:hint="eastAsia" w:ascii="宋体" w:hAnsi="宋体"/>
          <w:bCs/>
          <w:color w:val="auto"/>
          <w:sz w:val="24"/>
          <w:highlight w:val="none"/>
        </w:rPr>
        <w:t>27.1评审小组对通过资格性检查和符合性检查的有效响应文件，根据征集文件规定的评审方法、评审标准确定入围供应商。征集人将在“江苏政府采购网”发布入围结果公告，公告期限为1个工作日。</w:t>
      </w:r>
    </w:p>
    <w:p w14:paraId="16F94EB2">
      <w:pPr>
        <w:spacing w:line="500" w:lineRule="exact"/>
        <w:ind w:firstLine="480"/>
        <w:rPr>
          <w:rFonts w:ascii="宋体" w:hAnsi="宋体"/>
          <w:bCs/>
          <w:color w:val="auto"/>
          <w:sz w:val="24"/>
          <w:highlight w:val="none"/>
        </w:rPr>
      </w:pPr>
      <w:r>
        <w:rPr>
          <w:rFonts w:hint="eastAsia" w:ascii="宋体" w:hAnsi="宋体"/>
          <w:bCs/>
          <w:color w:val="auto"/>
          <w:sz w:val="24"/>
          <w:highlight w:val="none"/>
        </w:rPr>
        <w:t>27.2入围结果确定后，征集人将向入围供应商发出入围通知书。如通过“苏采云”系统进行发放的，请入围供应商在入围结果公告届满之日起30日内,使用CA数字证书登录“苏采云”系统及时下载入围通知书。因系统存储空间有限，自入围结果公告届满之日起30日后，“苏采云”系统不再保证提供下载入围通知书服务,因未及时下载而造成的不利后果由入围供应商自行承担。</w:t>
      </w:r>
    </w:p>
    <w:p w14:paraId="58132715">
      <w:pPr>
        <w:spacing w:line="500" w:lineRule="exact"/>
        <w:ind w:firstLine="480"/>
        <w:rPr>
          <w:rFonts w:ascii="宋体" w:hAnsi="宋体"/>
          <w:bCs/>
          <w:color w:val="auto"/>
          <w:sz w:val="24"/>
          <w:highlight w:val="none"/>
        </w:rPr>
      </w:pPr>
      <w:r>
        <w:rPr>
          <w:rFonts w:hint="eastAsia" w:ascii="宋体" w:hAnsi="宋体"/>
          <w:bCs/>
          <w:color w:val="auto"/>
          <w:sz w:val="24"/>
          <w:highlight w:val="none"/>
        </w:rPr>
        <w:t>27.3入围通知书将是框架协议的一个组成部分。对征集人和入围供应商均具有法律效力。</w:t>
      </w:r>
    </w:p>
    <w:p w14:paraId="0EB4527D">
      <w:pPr>
        <w:spacing w:line="500" w:lineRule="exact"/>
        <w:ind w:firstLine="480"/>
        <w:rPr>
          <w:rFonts w:ascii="宋体" w:hAnsi="宋体"/>
          <w:bCs/>
          <w:color w:val="auto"/>
          <w:sz w:val="24"/>
          <w:highlight w:val="none"/>
        </w:rPr>
      </w:pPr>
      <w:r>
        <w:rPr>
          <w:rFonts w:hint="eastAsia" w:ascii="宋体" w:hAnsi="宋体"/>
          <w:bCs/>
          <w:color w:val="auto"/>
          <w:sz w:val="24"/>
          <w:highlight w:val="none"/>
        </w:rPr>
        <w:t>27.4供应商电子响应文件将作为本项目征集活动的电子档案保存，电子档案与纸档案具有同等效力。</w:t>
      </w:r>
    </w:p>
    <w:p w14:paraId="5A60DE51">
      <w:pPr>
        <w:spacing w:line="500" w:lineRule="exact"/>
        <w:ind w:firstLine="480"/>
        <w:rPr>
          <w:rFonts w:ascii="宋体" w:hAnsi="宋体"/>
          <w:bCs/>
          <w:color w:val="auto"/>
          <w:sz w:val="24"/>
          <w:highlight w:val="none"/>
        </w:rPr>
      </w:pPr>
      <w:r>
        <w:rPr>
          <w:rFonts w:hint="eastAsia" w:ascii="宋体" w:hAnsi="宋体"/>
          <w:bCs/>
          <w:color w:val="auto"/>
          <w:sz w:val="24"/>
          <w:highlight w:val="none"/>
        </w:rPr>
        <w:t>27.5入围供应商在框架协议约定期限内，应当以不高于其报价的价格向适用框架协议的采购人或服务对象提供便捷、优质服务。</w:t>
      </w:r>
    </w:p>
    <w:p w14:paraId="6959293E">
      <w:pPr>
        <w:spacing w:line="500" w:lineRule="exact"/>
        <w:ind w:firstLine="480"/>
        <w:rPr>
          <w:rFonts w:ascii="宋体" w:hAnsi="宋体"/>
          <w:bCs/>
          <w:color w:val="auto"/>
          <w:sz w:val="24"/>
          <w:highlight w:val="none"/>
        </w:rPr>
      </w:pPr>
      <w:r>
        <w:rPr>
          <w:rFonts w:hint="eastAsia" w:ascii="宋体" w:hAnsi="宋体"/>
          <w:bCs/>
          <w:color w:val="auto"/>
          <w:sz w:val="24"/>
          <w:highlight w:val="none"/>
        </w:rPr>
        <w:t>27.6若有充分证据证明，入围供应商出现下列情况之一的，一经查实，将被取消入围资格：</w:t>
      </w:r>
    </w:p>
    <w:p w14:paraId="4F0A85EC">
      <w:pPr>
        <w:spacing w:line="500" w:lineRule="exact"/>
        <w:ind w:firstLine="480"/>
        <w:rPr>
          <w:rFonts w:ascii="宋体" w:hAnsi="宋体"/>
          <w:bCs/>
          <w:color w:val="auto"/>
          <w:sz w:val="24"/>
          <w:highlight w:val="none"/>
        </w:rPr>
      </w:pPr>
      <w:r>
        <w:rPr>
          <w:rFonts w:hint="eastAsia" w:ascii="宋体" w:hAnsi="宋体"/>
          <w:bCs/>
          <w:color w:val="auto"/>
          <w:sz w:val="24"/>
          <w:highlight w:val="none"/>
        </w:rPr>
        <w:t>27.6.1</w:t>
      </w:r>
      <w:r>
        <w:rPr>
          <w:rFonts w:hint="eastAsia" w:ascii="宋体" w:hAnsi="宋体"/>
          <w:bCs/>
          <w:color w:val="auto"/>
          <w:sz w:val="24"/>
          <w:szCs w:val="24"/>
          <w:highlight w:val="none"/>
        </w:rPr>
        <w:t>提供虚假材料谋取入围或者合同成交的</w:t>
      </w:r>
      <w:r>
        <w:rPr>
          <w:rFonts w:hint="eastAsia" w:ascii="宋体" w:hAnsi="宋体"/>
          <w:bCs/>
          <w:color w:val="auto"/>
          <w:sz w:val="24"/>
          <w:highlight w:val="none"/>
        </w:rPr>
        <w:t>。</w:t>
      </w:r>
    </w:p>
    <w:p w14:paraId="2C6DE1C6">
      <w:pPr>
        <w:spacing w:line="500" w:lineRule="exact"/>
        <w:ind w:firstLine="480"/>
        <w:rPr>
          <w:rFonts w:ascii="宋体" w:hAnsi="宋体"/>
          <w:bCs/>
          <w:color w:val="auto"/>
          <w:sz w:val="24"/>
          <w:highlight w:val="none"/>
        </w:rPr>
      </w:pPr>
      <w:r>
        <w:rPr>
          <w:rFonts w:hint="eastAsia" w:ascii="宋体" w:hAnsi="宋体"/>
          <w:bCs/>
          <w:color w:val="auto"/>
          <w:sz w:val="24"/>
          <w:highlight w:val="none"/>
        </w:rPr>
        <w:t>27.6.2向征集人、采购代理机构行贿或者提供其他不正当利益的。</w:t>
      </w:r>
    </w:p>
    <w:p w14:paraId="1053A707">
      <w:pPr>
        <w:spacing w:line="500" w:lineRule="exact"/>
        <w:ind w:firstLine="480"/>
        <w:rPr>
          <w:rFonts w:ascii="宋体" w:hAnsi="宋体"/>
          <w:bCs/>
          <w:color w:val="auto"/>
          <w:sz w:val="24"/>
          <w:highlight w:val="none"/>
        </w:rPr>
      </w:pPr>
      <w:r>
        <w:rPr>
          <w:rFonts w:hint="eastAsia" w:ascii="宋体" w:hAnsi="宋体"/>
          <w:bCs/>
          <w:color w:val="auto"/>
          <w:sz w:val="24"/>
          <w:highlight w:val="none"/>
        </w:rPr>
        <w:t>27.6.3属于本文件规定的无效响应条款的，但在评审过程中又未被评审小组发现的。</w:t>
      </w:r>
    </w:p>
    <w:p w14:paraId="721E322C">
      <w:pPr>
        <w:spacing w:line="500" w:lineRule="exact"/>
        <w:ind w:firstLine="480"/>
        <w:rPr>
          <w:rFonts w:ascii="宋体" w:hAnsi="宋体"/>
          <w:bCs/>
          <w:color w:val="auto"/>
          <w:sz w:val="24"/>
          <w:highlight w:val="none"/>
        </w:rPr>
      </w:pPr>
      <w:r>
        <w:rPr>
          <w:rFonts w:hint="eastAsia" w:ascii="宋体" w:hAnsi="宋体"/>
          <w:bCs/>
          <w:color w:val="auto"/>
          <w:sz w:val="24"/>
          <w:highlight w:val="none"/>
        </w:rPr>
        <w:t>27.6.4与征集人或者其他供应商恶意串通的。</w:t>
      </w:r>
    </w:p>
    <w:p w14:paraId="64E6EB22">
      <w:pPr>
        <w:spacing w:line="500" w:lineRule="exact"/>
        <w:ind w:firstLine="480"/>
        <w:rPr>
          <w:rFonts w:ascii="宋体" w:hAnsi="宋体"/>
          <w:bCs/>
          <w:color w:val="auto"/>
          <w:sz w:val="24"/>
          <w:highlight w:val="none"/>
        </w:rPr>
      </w:pPr>
      <w:r>
        <w:rPr>
          <w:rFonts w:hint="eastAsia" w:ascii="宋体" w:hAnsi="宋体"/>
          <w:bCs/>
          <w:color w:val="auto"/>
          <w:sz w:val="24"/>
          <w:highlight w:val="none"/>
        </w:rPr>
        <w:t>27.6.5采取不正当手段诋毁、排挤其他供应商的。</w:t>
      </w:r>
    </w:p>
    <w:p w14:paraId="2314A956">
      <w:pPr>
        <w:spacing w:line="500" w:lineRule="exact"/>
        <w:ind w:firstLine="480"/>
        <w:rPr>
          <w:rFonts w:ascii="宋体" w:hAnsi="宋体"/>
          <w:bCs/>
          <w:color w:val="auto"/>
          <w:sz w:val="24"/>
          <w:highlight w:val="none"/>
        </w:rPr>
      </w:pPr>
      <w:r>
        <w:rPr>
          <w:rFonts w:hint="eastAsia" w:ascii="宋体" w:hAnsi="宋体"/>
          <w:bCs/>
          <w:color w:val="auto"/>
          <w:sz w:val="24"/>
          <w:highlight w:val="none"/>
        </w:rPr>
        <w:t>27.6.6在征集过程中与征集人进行协商谈判、不按照征集文件和入围供应商的响应文件订立框架协议，或者与征集人另行订立背离框架协议实质性内容的协议的。</w:t>
      </w:r>
    </w:p>
    <w:p w14:paraId="7D8915FE">
      <w:pPr>
        <w:spacing w:line="500" w:lineRule="exact"/>
        <w:ind w:firstLine="480"/>
        <w:rPr>
          <w:rFonts w:ascii="宋体" w:hAnsi="宋体"/>
          <w:bCs/>
          <w:color w:val="auto"/>
          <w:sz w:val="24"/>
          <w:highlight w:val="none"/>
        </w:rPr>
      </w:pPr>
      <w:r>
        <w:rPr>
          <w:rFonts w:hint="eastAsia" w:ascii="宋体" w:hAnsi="宋体"/>
          <w:bCs/>
          <w:color w:val="auto"/>
          <w:sz w:val="24"/>
          <w:highlight w:val="none"/>
        </w:rPr>
        <w:t>27.6.7在框架协议约定期限内与采购人进行协商谈判、不按照框架协议订立合同的，或者与采购人另行订立背离框架协议实质性内容的合同的。</w:t>
      </w:r>
    </w:p>
    <w:p w14:paraId="4C626A91">
      <w:pPr>
        <w:spacing w:line="500" w:lineRule="exact"/>
        <w:ind w:firstLine="480"/>
        <w:rPr>
          <w:rFonts w:ascii="宋体" w:hAnsi="宋体"/>
          <w:bCs/>
          <w:color w:val="auto"/>
          <w:sz w:val="24"/>
          <w:highlight w:val="none"/>
        </w:rPr>
      </w:pPr>
      <w:r>
        <w:rPr>
          <w:rFonts w:hint="eastAsia" w:ascii="宋体" w:hAnsi="宋体"/>
          <w:bCs/>
          <w:color w:val="auto"/>
          <w:sz w:val="24"/>
          <w:highlight w:val="none"/>
        </w:rPr>
        <w:t>27.6.8拒绝有关部门监督检查或者提供虚假情况的。</w:t>
      </w:r>
    </w:p>
    <w:p w14:paraId="5EF0B133">
      <w:pPr>
        <w:spacing w:line="500" w:lineRule="exact"/>
        <w:ind w:firstLine="480"/>
        <w:rPr>
          <w:rFonts w:ascii="宋体" w:hAnsi="宋体"/>
          <w:b/>
          <w:bCs/>
          <w:color w:val="auto"/>
          <w:sz w:val="24"/>
          <w:highlight w:val="none"/>
        </w:rPr>
      </w:pPr>
      <w:r>
        <w:rPr>
          <w:rFonts w:hint="eastAsia" w:ascii="宋体" w:hAnsi="宋体"/>
          <w:b/>
          <w:bCs/>
          <w:color w:val="auto"/>
          <w:sz w:val="24"/>
          <w:highlight w:val="none"/>
        </w:rPr>
        <w:t>27.7履约管理</w:t>
      </w:r>
    </w:p>
    <w:p w14:paraId="7B8DD698">
      <w:pPr>
        <w:spacing w:line="500" w:lineRule="exact"/>
        <w:ind w:firstLine="480"/>
        <w:rPr>
          <w:rFonts w:ascii="宋体" w:hAnsi="宋体"/>
          <w:b/>
          <w:bCs/>
          <w:color w:val="auto"/>
          <w:sz w:val="24"/>
          <w:highlight w:val="none"/>
        </w:rPr>
      </w:pPr>
      <w:bookmarkStart w:id="192" w:name="OLE_LINK72"/>
      <w:bookmarkStart w:id="193" w:name="OLE_LINK73"/>
      <w:bookmarkStart w:id="194" w:name="OLE_LINK31"/>
      <w:bookmarkStart w:id="195" w:name="OLE_LINK28"/>
      <w:r>
        <w:rPr>
          <w:rFonts w:hint="eastAsia" w:ascii="宋体" w:hAnsi="宋体"/>
          <w:b/>
          <w:bCs/>
          <w:color w:val="auto"/>
          <w:sz w:val="24"/>
          <w:highlight w:val="none"/>
        </w:rPr>
        <w:t>27.7.1</w:t>
      </w:r>
      <w:bookmarkEnd w:id="192"/>
      <w:bookmarkEnd w:id="193"/>
      <w:bookmarkEnd w:id="194"/>
      <w:r>
        <w:rPr>
          <w:rFonts w:hint="eastAsia" w:ascii="宋体" w:hAnsi="宋体"/>
          <w:b/>
          <w:bCs/>
          <w:color w:val="auto"/>
          <w:sz w:val="24"/>
          <w:highlight w:val="none"/>
        </w:rPr>
        <w:t>入围供应商的处分、清退的补充规则：</w:t>
      </w:r>
    </w:p>
    <w:p w14:paraId="052662FB">
      <w:pPr>
        <w:spacing w:line="500" w:lineRule="exact"/>
        <w:ind w:firstLine="480"/>
        <w:rPr>
          <w:rFonts w:ascii="宋体" w:hAnsi="宋体"/>
          <w:b/>
          <w:bCs/>
          <w:color w:val="auto"/>
          <w:sz w:val="24"/>
          <w:highlight w:val="none"/>
        </w:rPr>
      </w:pPr>
      <w:r>
        <w:rPr>
          <w:rFonts w:hint="eastAsia" w:ascii="宋体" w:hAnsi="宋体"/>
          <w:b/>
          <w:bCs/>
          <w:color w:val="auto"/>
          <w:sz w:val="24"/>
          <w:highlight w:val="none"/>
        </w:rPr>
        <w:t>27.7.1．1入围供应商有下列情形之一，尚未签订框架协议的，取消其入围资格；已经签订框架协议的，解除与其签订的框架协议：</w:t>
      </w:r>
      <w:r>
        <w:rPr>
          <w:rFonts w:ascii="宋体" w:hAnsi="宋体"/>
          <w:b/>
          <w:bCs/>
          <w:color w:val="auto"/>
          <w:sz w:val="24"/>
          <w:highlight w:val="none"/>
        </w:rPr>
        <w:t> </w:t>
      </w:r>
    </w:p>
    <w:p w14:paraId="2CAFF201">
      <w:pPr>
        <w:spacing w:line="500" w:lineRule="exact"/>
        <w:ind w:firstLine="480"/>
        <w:rPr>
          <w:rFonts w:hint="eastAsia" w:ascii="宋体" w:hAnsi="宋体"/>
          <w:b/>
          <w:bCs/>
          <w:color w:val="auto"/>
          <w:sz w:val="24"/>
          <w:highlight w:val="none"/>
        </w:rPr>
      </w:pPr>
      <w:r>
        <w:rPr>
          <w:rFonts w:hint="eastAsia" w:ascii="宋体" w:hAnsi="宋体"/>
          <w:b/>
          <w:bCs/>
          <w:color w:val="auto"/>
          <w:sz w:val="24"/>
          <w:highlight w:val="none"/>
        </w:rPr>
        <w:t>①恶意串通谋取入围或者合同成交的；</w:t>
      </w:r>
      <w:r>
        <w:rPr>
          <w:rFonts w:ascii="宋体" w:hAnsi="宋体"/>
          <w:b/>
          <w:bCs/>
          <w:color w:val="auto"/>
          <w:sz w:val="24"/>
          <w:highlight w:val="none"/>
        </w:rPr>
        <w:t> </w:t>
      </w:r>
    </w:p>
    <w:p w14:paraId="74E3DA64">
      <w:pPr>
        <w:spacing w:line="500" w:lineRule="exact"/>
        <w:ind w:firstLine="480"/>
        <w:rPr>
          <w:rFonts w:hint="eastAsia" w:ascii="宋体" w:hAnsi="宋体"/>
          <w:b/>
          <w:bCs/>
          <w:color w:val="auto"/>
          <w:sz w:val="24"/>
          <w:highlight w:val="none"/>
        </w:rPr>
      </w:pPr>
      <w:r>
        <w:rPr>
          <w:rFonts w:hint="eastAsia" w:ascii="宋体" w:hAnsi="宋体"/>
          <w:b/>
          <w:bCs/>
          <w:color w:val="auto"/>
          <w:sz w:val="24"/>
          <w:highlight w:val="none"/>
        </w:rPr>
        <w:t>②提供虚假材料谋取入围或者合同成交的；</w:t>
      </w:r>
      <w:r>
        <w:rPr>
          <w:rFonts w:ascii="宋体" w:hAnsi="宋体"/>
          <w:b/>
          <w:bCs/>
          <w:color w:val="auto"/>
          <w:sz w:val="24"/>
          <w:highlight w:val="none"/>
        </w:rPr>
        <w:t> </w:t>
      </w:r>
    </w:p>
    <w:p w14:paraId="643E19D9">
      <w:pPr>
        <w:spacing w:line="500" w:lineRule="exact"/>
        <w:ind w:firstLine="480"/>
        <w:rPr>
          <w:rFonts w:hint="eastAsia" w:ascii="宋体" w:hAnsi="宋体"/>
          <w:b/>
          <w:bCs/>
          <w:color w:val="auto"/>
          <w:sz w:val="24"/>
          <w:highlight w:val="none"/>
        </w:rPr>
      </w:pPr>
      <w:r>
        <w:rPr>
          <w:rFonts w:hint="eastAsia" w:ascii="宋体" w:hAnsi="宋体"/>
          <w:b/>
          <w:bCs/>
          <w:color w:val="auto"/>
          <w:sz w:val="24"/>
          <w:highlight w:val="none"/>
        </w:rPr>
        <w:t>③无正当理由拒不接受合同授予的；</w:t>
      </w:r>
      <w:r>
        <w:rPr>
          <w:rFonts w:ascii="宋体" w:hAnsi="宋体"/>
          <w:b/>
          <w:bCs/>
          <w:color w:val="auto"/>
          <w:sz w:val="24"/>
          <w:highlight w:val="none"/>
        </w:rPr>
        <w:t> </w:t>
      </w:r>
    </w:p>
    <w:p w14:paraId="3D728CD9">
      <w:pPr>
        <w:spacing w:line="500" w:lineRule="exact"/>
        <w:ind w:firstLine="480"/>
        <w:rPr>
          <w:rFonts w:hint="eastAsia" w:ascii="宋体" w:hAnsi="宋体"/>
          <w:b/>
          <w:bCs/>
          <w:color w:val="auto"/>
          <w:sz w:val="24"/>
          <w:highlight w:val="none"/>
        </w:rPr>
      </w:pPr>
      <w:r>
        <w:rPr>
          <w:rFonts w:hint="eastAsia" w:ascii="宋体" w:hAnsi="宋体"/>
          <w:b/>
          <w:bCs/>
          <w:color w:val="auto"/>
          <w:sz w:val="24"/>
          <w:highlight w:val="none"/>
        </w:rPr>
        <w:t>④不履行合同义务或者履行合同义务不符合约定，经采购人请求履行后仍不履行或者仍未按约定履行的；</w:t>
      </w:r>
      <w:r>
        <w:rPr>
          <w:rFonts w:ascii="宋体" w:hAnsi="宋体"/>
          <w:b/>
          <w:bCs/>
          <w:color w:val="auto"/>
          <w:sz w:val="24"/>
          <w:highlight w:val="none"/>
        </w:rPr>
        <w:t> </w:t>
      </w:r>
    </w:p>
    <w:p w14:paraId="6E9233B3">
      <w:pPr>
        <w:spacing w:line="500" w:lineRule="exact"/>
        <w:ind w:firstLine="480"/>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5 \* GB3 </w:instrText>
      </w:r>
      <w:r>
        <w:rPr>
          <w:rFonts w:ascii="宋体" w:hAnsi="宋体"/>
          <w:b/>
          <w:bCs/>
          <w:color w:val="auto"/>
          <w:sz w:val="24"/>
          <w:highlight w:val="none"/>
        </w:rPr>
        <w:fldChar w:fldCharType="separate"/>
      </w:r>
      <w:r>
        <w:rPr>
          <w:rFonts w:hint="eastAsia" w:ascii="宋体" w:hAnsi="宋体"/>
          <w:b/>
          <w:bCs/>
          <w:color w:val="auto"/>
          <w:sz w:val="24"/>
          <w:highlight w:val="none"/>
        </w:rPr>
        <w:t>⑤</w:t>
      </w:r>
      <w:r>
        <w:rPr>
          <w:rFonts w:hint="eastAsia" w:ascii="宋体" w:hAnsi="宋体"/>
          <w:b/>
          <w:bCs/>
          <w:color w:val="auto"/>
          <w:sz w:val="24"/>
          <w:highlight w:val="none"/>
        </w:rPr>
        <w:fldChar w:fldCharType="end"/>
      </w:r>
      <w:r>
        <w:rPr>
          <w:rFonts w:hint="eastAsia" w:ascii="宋体" w:hAnsi="宋体"/>
          <w:b/>
          <w:bCs/>
          <w:color w:val="auto"/>
          <w:sz w:val="24"/>
          <w:highlight w:val="none"/>
        </w:rPr>
        <w:t>框架协议有效期内，因违法行为被禁止或限制参加政府采购活动的；</w:t>
      </w:r>
      <w:r>
        <w:rPr>
          <w:rFonts w:ascii="宋体" w:hAnsi="宋体"/>
          <w:b/>
          <w:bCs/>
          <w:color w:val="auto"/>
          <w:sz w:val="24"/>
          <w:highlight w:val="none"/>
        </w:rPr>
        <w:t> </w:t>
      </w:r>
    </w:p>
    <w:p w14:paraId="79D6562E">
      <w:pPr>
        <w:spacing w:line="500" w:lineRule="exact"/>
        <w:ind w:firstLine="480"/>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6 \* GB3 </w:instrText>
      </w:r>
      <w:r>
        <w:rPr>
          <w:rFonts w:ascii="宋体" w:hAnsi="宋体"/>
          <w:b/>
          <w:bCs/>
          <w:color w:val="auto"/>
          <w:sz w:val="24"/>
          <w:highlight w:val="none"/>
        </w:rPr>
        <w:fldChar w:fldCharType="separate"/>
      </w:r>
      <w:r>
        <w:rPr>
          <w:rFonts w:hint="eastAsia" w:ascii="宋体" w:hAnsi="宋体"/>
          <w:b/>
          <w:bCs/>
          <w:color w:val="auto"/>
          <w:sz w:val="24"/>
          <w:highlight w:val="none"/>
        </w:rPr>
        <w:t>⑥</w:t>
      </w:r>
      <w:r>
        <w:rPr>
          <w:rFonts w:hint="eastAsia" w:ascii="宋体" w:hAnsi="宋体"/>
          <w:b/>
          <w:bCs/>
          <w:color w:val="auto"/>
          <w:sz w:val="24"/>
          <w:highlight w:val="none"/>
        </w:rPr>
        <w:fldChar w:fldCharType="end"/>
      </w:r>
      <w:r>
        <w:rPr>
          <w:rFonts w:hint="eastAsia" w:ascii="宋体" w:hAnsi="宋体"/>
          <w:b/>
          <w:bCs/>
          <w:color w:val="auto"/>
          <w:sz w:val="24"/>
          <w:highlight w:val="none"/>
        </w:rPr>
        <w:t>框架协议约定的其他情形及出现《无锡市残疾儿童基本康复训练服务管理细则（2024年版）》中附件6“违规清退清单”所列情形之一的。</w:t>
      </w:r>
      <w:r>
        <w:rPr>
          <w:rFonts w:ascii="宋体" w:hAnsi="宋体"/>
          <w:b/>
          <w:bCs/>
          <w:color w:val="auto"/>
          <w:sz w:val="24"/>
          <w:highlight w:val="none"/>
        </w:rPr>
        <w:t> </w:t>
      </w:r>
    </w:p>
    <w:p w14:paraId="2EB5222A">
      <w:pPr>
        <w:spacing w:line="500" w:lineRule="exact"/>
        <w:ind w:firstLine="480"/>
        <w:rPr>
          <w:rFonts w:hint="eastAsia" w:ascii="宋体" w:hAnsi="宋体"/>
          <w:b/>
          <w:bCs/>
          <w:color w:val="auto"/>
          <w:sz w:val="24"/>
          <w:highlight w:val="none"/>
        </w:rPr>
      </w:pPr>
      <w:r>
        <w:rPr>
          <w:rFonts w:hint="eastAsia" w:ascii="宋体" w:hAnsi="宋体"/>
          <w:b/>
          <w:bCs/>
          <w:color w:val="auto"/>
          <w:sz w:val="24"/>
          <w:highlight w:val="none"/>
        </w:rPr>
        <w:t>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p>
    <w:p w14:paraId="75EC7E0B">
      <w:pPr>
        <w:spacing w:line="500" w:lineRule="exact"/>
        <w:ind w:firstLine="480"/>
        <w:rPr>
          <w:rFonts w:hint="eastAsia" w:ascii="宋体" w:hAnsi="宋体"/>
          <w:b/>
          <w:bCs/>
          <w:color w:val="auto"/>
          <w:sz w:val="24"/>
          <w:highlight w:val="none"/>
        </w:rPr>
      </w:pPr>
      <w:r>
        <w:rPr>
          <w:rFonts w:hint="eastAsia" w:ascii="宋体" w:hAnsi="宋体"/>
          <w:b/>
          <w:bCs/>
          <w:color w:val="auto"/>
          <w:sz w:val="24"/>
          <w:highlight w:val="none"/>
        </w:rPr>
        <w:t>本期滨湖区残疾儿童基本康复训练服务定点机构开放式框架协议入围供应商可以按征集公告及相关规定要求，随时申请退出框架协议。采购代理机构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p>
    <w:p w14:paraId="3A048B0D">
      <w:pPr>
        <w:spacing w:line="500" w:lineRule="exact"/>
        <w:ind w:firstLine="480"/>
        <w:rPr>
          <w:rFonts w:ascii="宋体" w:hAnsi="宋体"/>
          <w:b/>
          <w:bCs/>
          <w:color w:val="auto"/>
          <w:sz w:val="24"/>
          <w:highlight w:val="none"/>
        </w:rPr>
      </w:pPr>
      <w:r>
        <w:rPr>
          <w:rFonts w:hint="eastAsia" w:ascii="宋体" w:hAnsi="宋体"/>
          <w:b/>
          <w:bCs/>
          <w:color w:val="auto"/>
          <w:sz w:val="24"/>
          <w:highlight w:val="none"/>
        </w:rPr>
        <w:t>27.7.2</w:t>
      </w:r>
      <w:r>
        <w:rPr>
          <w:rFonts w:hint="eastAsia" w:ascii="宋体" w:hAnsi="宋体"/>
          <w:b/>
          <w:color w:val="auto"/>
          <w:sz w:val="24"/>
          <w:szCs w:val="24"/>
          <w:highlight w:val="none"/>
        </w:rPr>
        <w:t>征集公告发布后至框架协议期满前，本项目不设开放期</w:t>
      </w:r>
      <w:r>
        <w:rPr>
          <w:rFonts w:hint="eastAsia" w:ascii="宋体" w:hAnsi="宋体"/>
          <w:b/>
          <w:bCs/>
          <w:color w:val="auto"/>
          <w:sz w:val="24"/>
          <w:highlight w:val="none"/>
        </w:rPr>
        <w:t>。</w:t>
      </w:r>
    </w:p>
    <w:bookmarkEnd w:id="195"/>
    <w:p w14:paraId="16C86EC6">
      <w:pPr>
        <w:pStyle w:val="6"/>
        <w:keepNext w:val="0"/>
        <w:keepLines w:val="0"/>
        <w:spacing w:before="0" w:after="0" w:line="500" w:lineRule="exact"/>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28.成交</w:t>
      </w:r>
    </w:p>
    <w:p w14:paraId="4D202467">
      <w:pPr>
        <w:overflowPunct w:val="0"/>
        <w:topLinePunct/>
        <w:spacing w:line="520" w:lineRule="exact"/>
        <w:ind w:firstLine="480" w:firstLineChars="200"/>
        <w:rPr>
          <w:rFonts w:ascii="宋体" w:hAnsi="宋体"/>
          <w:bCs/>
          <w:color w:val="auto"/>
          <w:sz w:val="24"/>
          <w:highlight w:val="none"/>
        </w:rPr>
      </w:pPr>
      <w:r>
        <w:rPr>
          <w:rFonts w:hint="eastAsia" w:ascii="宋体" w:hAnsi="宋体"/>
          <w:bCs/>
          <w:color w:val="auto"/>
          <w:sz w:val="24"/>
          <w:highlight w:val="none"/>
        </w:rPr>
        <w:t>28.1确定第二阶段成交供应商的方式为：由服务对象即残疾儿童或残疾儿童监护人直接选定。具体选定流程以《无锡市残疾儿童基本康复训练服务管理细则（2024年版）》（锡残〔</w:t>
      </w:r>
      <w:r>
        <w:rPr>
          <w:rFonts w:ascii="宋体" w:hAnsi="宋体"/>
          <w:bCs/>
          <w:color w:val="auto"/>
          <w:sz w:val="24"/>
          <w:highlight w:val="none"/>
        </w:rPr>
        <w:t>202</w:t>
      </w:r>
      <w:r>
        <w:rPr>
          <w:rFonts w:hint="eastAsia" w:ascii="宋体" w:hAnsi="宋体"/>
          <w:bCs/>
          <w:color w:val="auto"/>
          <w:sz w:val="24"/>
          <w:highlight w:val="none"/>
        </w:rPr>
        <w:t>4〕10号）为准，后续如有政策更新流程，以最新政策执行。</w:t>
      </w:r>
    </w:p>
    <w:p w14:paraId="0D01A0B2">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28.2入围供应商在框架协议约定期限内，采取据实结算方式，每年一季度由市、区残联会同第三方机构对供应商的服务情况进行年度质量评估，并在二季度根据供应商实际发生的费用及考核结果结算上一年度剩余资金，对考核不达标的，按相关文件扣减结算资金，并限期整改。每年二季度根据供应商实际发生的费用结算一季度资金，每年四季度根据供应商实际发生的费用结算二季度和三季度资金。</w:t>
      </w:r>
    </w:p>
    <w:p w14:paraId="35EA0AF1">
      <w:pPr>
        <w:spacing w:line="500" w:lineRule="exact"/>
        <w:ind w:firstLine="480"/>
        <w:rPr>
          <w:rFonts w:ascii="宋体" w:hAnsi="宋体"/>
          <w:bCs/>
          <w:color w:val="auto"/>
          <w:sz w:val="24"/>
          <w:highlight w:val="none"/>
        </w:rPr>
      </w:pPr>
      <w:r>
        <w:rPr>
          <w:rFonts w:hint="eastAsia" w:ascii="宋体" w:hAnsi="宋体"/>
          <w:bCs/>
          <w:color w:val="auto"/>
          <w:sz w:val="24"/>
          <w:highlight w:val="none"/>
        </w:rPr>
        <w:t>28.3采购人在确定成交供应商后，不得擅自改变框架协议约定的实质性条款。供应商履行合同后，依据采购合同的约定，与采购人进行费用结算。</w:t>
      </w:r>
    </w:p>
    <w:bookmarkEnd w:id="190"/>
    <w:bookmarkEnd w:id="191"/>
    <w:p w14:paraId="7608CAAA">
      <w:pPr>
        <w:pStyle w:val="6"/>
        <w:keepNext w:val="0"/>
        <w:keepLines w:val="0"/>
        <w:spacing w:before="0" w:after="0" w:line="500" w:lineRule="exact"/>
        <w:ind w:firstLine="422"/>
        <w:rPr>
          <w:rFonts w:ascii="宋体" w:hAnsi="宋体" w:eastAsia="宋体"/>
          <w:bCs w:val="0"/>
          <w:color w:val="auto"/>
          <w:highlight w:val="none"/>
          <w:lang w:eastAsia="zh-CN"/>
        </w:rPr>
      </w:pPr>
      <w:bookmarkStart w:id="196" w:name="_Toc200451960"/>
      <w:r>
        <w:rPr>
          <w:rFonts w:hint="eastAsia" w:ascii="宋体" w:hAnsi="宋体" w:eastAsia="宋体"/>
          <w:bCs w:val="0"/>
          <w:color w:val="auto"/>
          <w:highlight w:val="none"/>
          <w:lang w:eastAsia="zh-CN"/>
        </w:rPr>
        <w:t>29.质疑处理</w:t>
      </w:r>
      <w:bookmarkEnd w:id="196"/>
    </w:p>
    <w:p w14:paraId="1B1C0E8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29.1 提出质疑的供应商应当是参与所质疑项目采购活动的供应商。潜在供应商依法获取其可质疑的征集文件的，可以对征集文件提出质疑。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0B1FBB92">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29.2供应商认为征集文件、采购过程和入围结果使自己的权益受到损害的，可以在知道或应知其权益受到损害之日起七个工作日内，以书面形式根据下述29.4条款的规定向征集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p>
    <w:p w14:paraId="6959E68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29.2.1</w:t>
      </w:r>
      <w:r>
        <w:rPr>
          <w:rFonts w:ascii="宋体" w:hAnsi="宋体"/>
          <w:color w:val="auto"/>
          <w:sz w:val="24"/>
          <w:szCs w:val="24"/>
          <w:highlight w:val="none"/>
        </w:rPr>
        <w:t>对可以质疑的</w:t>
      </w:r>
      <w:r>
        <w:rPr>
          <w:rFonts w:hint="eastAsia" w:ascii="宋体" w:hAnsi="宋体"/>
          <w:color w:val="auto"/>
          <w:sz w:val="24"/>
          <w:szCs w:val="24"/>
          <w:highlight w:val="none"/>
        </w:rPr>
        <w:t>征集</w:t>
      </w:r>
      <w:r>
        <w:rPr>
          <w:rFonts w:ascii="宋体" w:hAnsi="宋体"/>
          <w:color w:val="auto"/>
          <w:sz w:val="24"/>
          <w:szCs w:val="24"/>
          <w:highlight w:val="none"/>
        </w:rPr>
        <w:t>文件提出质疑的，为收到</w:t>
      </w:r>
      <w:r>
        <w:rPr>
          <w:rFonts w:hint="eastAsia" w:ascii="宋体" w:hAnsi="宋体"/>
          <w:color w:val="auto"/>
          <w:sz w:val="24"/>
          <w:szCs w:val="24"/>
          <w:highlight w:val="none"/>
        </w:rPr>
        <w:t>征集</w:t>
      </w:r>
      <w:r>
        <w:rPr>
          <w:rFonts w:ascii="宋体" w:hAnsi="宋体"/>
          <w:color w:val="auto"/>
          <w:sz w:val="24"/>
          <w:szCs w:val="24"/>
          <w:highlight w:val="none"/>
        </w:rPr>
        <w:t>文件之日或者</w:t>
      </w:r>
      <w:r>
        <w:rPr>
          <w:rFonts w:hint="eastAsia" w:ascii="宋体" w:hAnsi="宋体"/>
          <w:color w:val="auto"/>
          <w:sz w:val="24"/>
          <w:szCs w:val="24"/>
          <w:highlight w:val="none"/>
        </w:rPr>
        <w:t>征集</w:t>
      </w:r>
      <w:r>
        <w:rPr>
          <w:rFonts w:ascii="宋体" w:hAnsi="宋体"/>
          <w:color w:val="auto"/>
          <w:sz w:val="24"/>
          <w:szCs w:val="24"/>
          <w:highlight w:val="none"/>
        </w:rPr>
        <w:t>文件公告期限届满之日；</w:t>
      </w:r>
    </w:p>
    <w:p w14:paraId="34E1535E">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29.2.2</w:t>
      </w:r>
      <w:r>
        <w:rPr>
          <w:rFonts w:ascii="宋体" w:hAnsi="宋体"/>
          <w:color w:val="auto"/>
          <w:sz w:val="24"/>
          <w:szCs w:val="24"/>
          <w:highlight w:val="none"/>
        </w:rPr>
        <w:t>对</w:t>
      </w:r>
      <w:r>
        <w:rPr>
          <w:rFonts w:hint="eastAsia" w:ascii="宋体" w:hAnsi="宋体"/>
          <w:color w:val="auto"/>
          <w:sz w:val="24"/>
          <w:szCs w:val="24"/>
          <w:highlight w:val="none"/>
        </w:rPr>
        <w:t>采购</w:t>
      </w:r>
      <w:r>
        <w:rPr>
          <w:rFonts w:ascii="宋体" w:hAnsi="宋体"/>
          <w:color w:val="auto"/>
          <w:sz w:val="24"/>
          <w:szCs w:val="24"/>
          <w:highlight w:val="none"/>
        </w:rPr>
        <w:t>过程提出质疑的，为各采购程序环节结束之日；</w:t>
      </w:r>
    </w:p>
    <w:p w14:paraId="222C29A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29.2.3</w:t>
      </w:r>
      <w:r>
        <w:rPr>
          <w:rFonts w:ascii="宋体" w:hAnsi="宋体"/>
          <w:color w:val="auto"/>
          <w:sz w:val="24"/>
          <w:szCs w:val="24"/>
          <w:highlight w:val="none"/>
        </w:rPr>
        <w:t>对</w:t>
      </w:r>
      <w:r>
        <w:rPr>
          <w:rFonts w:hint="eastAsia" w:ascii="宋体" w:hAnsi="宋体"/>
          <w:color w:val="auto"/>
          <w:sz w:val="24"/>
          <w:szCs w:val="24"/>
          <w:highlight w:val="none"/>
        </w:rPr>
        <w:t>入围</w:t>
      </w:r>
      <w:r>
        <w:rPr>
          <w:rFonts w:ascii="宋体" w:hAnsi="宋体"/>
          <w:color w:val="auto"/>
          <w:sz w:val="24"/>
          <w:szCs w:val="24"/>
          <w:highlight w:val="none"/>
        </w:rPr>
        <w:t>结果提出质疑的，为</w:t>
      </w:r>
      <w:r>
        <w:rPr>
          <w:rFonts w:hint="eastAsia" w:ascii="宋体" w:hAnsi="宋体"/>
          <w:color w:val="auto"/>
          <w:sz w:val="24"/>
          <w:szCs w:val="24"/>
          <w:highlight w:val="none"/>
        </w:rPr>
        <w:t>入围</w:t>
      </w:r>
      <w:r>
        <w:rPr>
          <w:rFonts w:ascii="宋体" w:hAnsi="宋体"/>
          <w:color w:val="auto"/>
          <w:sz w:val="24"/>
          <w:szCs w:val="24"/>
          <w:highlight w:val="none"/>
        </w:rPr>
        <w:t>结果公告期限届满之日。</w:t>
      </w:r>
    </w:p>
    <w:p w14:paraId="2A37E2A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供应商应当在法定质疑期内一次性提出针对同一采购程序环节的质疑。供应商如在法定期限内对同一采购程序环节提出多次质疑的，将只对供应商第一次质疑作出答复。</w:t>
      </w:r>
    </w:p>
    <w:p w14:paraId="3A0B1C65">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29.3</w:t>
      </w:r>
      <w:r>
        <w:rPr>
          <w:rFonts w:hint="eastAsia" w:ascii="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color w:val="auto"/>
          <w:sz w:val="24"/>
          <w:szCs w:val="24"/>
          <w:highlight w:val="none"/>
        </w:rPr>
        <w:t>供应商如组成联合体参加采购活动，则《质疑函范本》中要求签字、盖章、加盖公章之处，联合体各方均须按要求签字、盖章、加盖公章。</w:t>
      </w:r>
    </w:p>
    <w:p w14:paraId="23A90DD9">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29.4供应商（含潜在供应商）对征集文件的质疑请向征集人提出，由征集人负责答复。</w:t>
      </w:r>
    </w:p>
    <w:p w14:paraId="2E598F56">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供应商对采购过程和入围结果的质疑请向征集人提出，征集人若委托采购代理机构进行征集的，可向采购代理机构提出，由征集人配合进行答复。</w:t>
      </w:r>
    </w:p>
    <w:p w14:paraId="5CAB741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征集人、采购代理机构只接收以纸质原件形式送达的质疑,质疑供应商可通过面交或邮寄方式送达（征集人和采购代理机构不接受未填写快递运单的快件）。</w:t>
      </w:r>
    </w:p>
    <w:p w14:paraId="463AC7BD">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29.5 以下情形的质疑不予受理</w:t>
      </w:r>
    </w:p>
    <w:p w14:paraId="7B185D1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29.5.1 内容不符合《政府采购质疑和投诉办法》第十二条规定的质疑。</w:t>
      </w:r>
    </w:p>
    <w:p w14:paraId="7FB0728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29.5.2 超出政府采购法定期限的质疑。</w:t>
      </w:r>
    </w:p>
    <w:p w14:paraId="6B7C8931">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29.5.3 以传真、电子邮件等方式递交的非原件形式的质疑。</w:t>
      </w:r>
    </w:p>
    <w:p w14:paraId="024B6D1F">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29.5.4未参加采购活动的供应商或在采购活动中自身权益未受到损害的供应商所提出的质疑。</w:t>
      </w:r>
    </w:p>
    <w:p w14:paraId="7A65BDF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29.5.5供应商组成联合体参加采购活动，联合体中任何一方或多方未按要求签字、盖章、加盖公章的质疑。</w:t>
      </w:r>
    </w:p>
    <w:p w14:paraId="4779BDCA">
      <w:pPr>
        <w:spacing w:line="500" w:lineRule="exact"/>
        <w:ind w:firstLine="468"/>
        <w:rPr>
          <w:rFonts w:ascii="宋体" w:hAnsi="宋体"/>
          <w:color w:val="auto"/>
          <w:sz w:val="24"/>
          <w:szCs w:val="24"/>
          <w:highlight w:val="none"/>
        </w:rPr>
      </w:pPr>
      <w:r>
        <w:rPr>
          <w:rFonts w:hint="eastAsia" w:ascii="宋体" w:hAnsi="宋体"/>
          <w:color w:val="auto"/>
          <w:sz w:val="24"/>
          <w:szCs w:val="24"/>
          <w:highlight w:val="none"/>
        </w:rPr>
        <w:t>29.6供应商提出书面质疑必须有理、有据，</w:t>
      </w:r>
      <w:r>
        <w:rPr>
          <w:rFonts w:hint="eastAsia" w:ascii="宋体" w:hAnsi="宋体"/>
          <w:bCs/>
          <w:color w:val="auto"/>
          <w:sz w:val="24"/>
          <w:highlight w:val="none"/>
        </w:rPr>
        <w:t>如质疑查无实据或供应商捏造事实，提供虚假材料进行恶意质疑或举报，不配合或采用不正当手段干扰政府采购质疑的，</w:t>
      </w:r>
      <w:r>
        <w:rPr>
          <w:rFonts w:hint="eastAsia" w:ascii="宋体" w:hAnsi="宋体"/>
          <w:color w:val="auto"/>
          <w:sz w:val="24"/>
          <w:szCs w:val="24"/>
          <w:highlight w:val="none"/>
        </w:rPr>
        <w:t>一经查实，征集人、采购代理机构有权依据政府采购的有关规定，报请政府采购监管部门对该供应商进行相应的行政处罚和记录该供应商的失信信息。</w:t>
      </w:r>
    </w:p>
    <w:p w14:paraId="4106DA84">
      <w:pPr>
        <w:pStyle w:val="5"/>
        <w:keepNext w:val="0"/>
        <w:keepLines w:val="0"/>
        <w:spacing w:before="0" w:after="0" w:line="500" w:lineRule="exact"/>
        <w:ind w:firstLine="452"/>
        <w:rPr>
          <w:color w:val="auto"/>
          <w:sz w:val="30"/>
          <w:szCs w:val="30"/>
          <w:highlight w:val="none"/>
          <w:lang w:eastAsia="zh-CN"/>
        </w:rPr>
      </w:pPr>
      <w:bookmarkStart w:id="197" w:name="_Toc120614220"/>
      <w:bookmarkStart w:id="198" w:name="_Toc20823308"/>
      <w:bookmarkStart w:id="199" w:name="_Toc513029236"/>
      <w:bookmarkStart w:id="200" w:name="_Toc16938552"/>
      <w:r>
        <w:rPr>
          <w:rFonts w:hint="eastAsia"/>
          <w:color w:val="auto"/>
          <w:sz w:val="30"/>
          <w:szCs w:val="30"/>
          <w:highlight w:val="none"/>
          <w:lang w:eastAsia="zh-CN"/>
        </w:rPr>
        <w:t>七、</w:t>
      </w:r>
      <w:bookmarkEnd w:id="197"/>
      <w:r>
        <w:rPr>
          <w:rFonts w:hint="eastAsia"/>
          <w:color w:val="auto"/>
          <w:sz w:val="30"/>
          <w:szCs w:val="30"/>
          <w:highlight w:val="none"/>
          <w:lang w:eastAsia="zh-CN"/>
        </w:rPr>
        <w:t>其他事项</w:t>
      </w:r>
    </w:p>
    <w:bookmarkEnd w:id="198"/>
    <w:bookmarkEnd w:id="199"/>
    <w:bookmarkEnd w:id="200"/>
    <w:p w14:paraId="31337F3C">
      <w:pPr>
        <w:pStyle w:val="6"/>
        <w:keepNext w:val="0"/>
        <w:keepLines w:val="0"/>
        <w:spacing w:before="0" w:after="0" w:line="500" w:lineRule="exact"/>
        <w:ind w:firstLine="422"/>
        <w:rPr>
          <w:rFonts w:ascii="宋体" w:hAnsi="宋体" w:eastAsia="宋体"/>
          <w:bCs w:val="0"/>
          <w:color w:val="auto"/>
          <w:highlight w:val="none"/>
          <w:lang w:eastAsia="zh-CN"/>
        </w:rPr>
      </w:pPr>
      <w:bookmarkStart w:id="201" w:name="_Toc16938553"/>
      <w:bookmarkStart w:id="202" w:name="_Toc513029237"/>
      <w:bookmarkStart w:id="203" w:name="_Toc20823309"/>
      <w:r>
        <w:rPr>
          <w:rFonts w:hint="eastAsia" w:ascii="宋体" w:hAnsi="宋体" w:eastAsia="宋体"/>
          <w:bCs w:val="0"/>
          <w:color w:val="auto"/>
          <w:highlight w:val="none"/>
          <w:lang w:eastAsia="zh-CN"/>
        </w:rPr>
        <w:t>30.框架协议的签订</w:t>
      </w:r>
    </w:p>
    <w:p w14:paraId="4D22D0A0">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30.1征集人在入围通知书发出之日起三十日内和入围供应商签订框架协议，</w:t>
      </w:r>
      <w:r>
        <w:rPr>
          <w:rFonts w:hint="eastAsia" w:ascii="宋体" w:hAnsi="宋体"/>
          <w:b/>
          <w:bCs/>
          <w:color w:val="auto"/>
          <w:sz w:val="24"/>
          <w:szCs w:val="24"/>
          <w:highlight w:val="none"/>
        </w:rPr>
        <w:t>如通过“苏采云”系统进行框架协议签订的，入围供应商在收到或应当收到入围通知后需及时使用CA数字证书登录“苏采云”系统完成电子框架协议的签订工作（本项目不适用）</w:t>
      </w:r>
      <w:r>
        <w:rPr>
          <w:rFonts w:hint="eastAsia" w:ascii="宋体" w:hAnsi="宋体"/>
          <w:bCs/>
          <w:color w:val="auto"/>
          <w:sz w:val="24"/>
          <w:szCs w:val="24"/>
          <w:highlight w:val="none"/>
        </w:rPr>
        <w:t>。框架协议不得对征集文件确定的事项以及入围供应商的响应文件作实质性修改。入围供应商如无正当理由不及时签订框架协议的，应根据《中华人民共和国政府采购法》、《中华人民共和国政府采购法实施条例》、《政府采购框架协议采购方式管理暂行办法》（中华人民共和国财政部令第110号）等法律法规规定承担相应法律责任。</w:t>
      </w:r>
    </w:p>
    <w:p w14:paraId="08A0FD0B">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30.2征集文件、入围供应商的响应文件及评审过程中有关澄清、承诺文件均应作为框架协议的附件。</w:t>
      </w:r>
    </w:p>
    <w:p w14:paraId="0C5EE787">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30.3签订框架协议后，入围供应商不得将产品及其他相关服务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p>
    <w:p w14:paraId="1A5F2A6C">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30.4入围供应商非因不可抗力未履行征集文件、响应文件和合同规定的义务，一经查实，征集人将根据具体情况提请市政府采购监督管理部门作出相应处理。</w:t>
      </w:r>
    </w:p>
    <w:p w14:paraId="2DCD11DC">
      <w:pPr>
        <w:pStyle w:val="6"/>
        <w:keepNext w:val="0"/>
        <w:keepLines w:val="0"/>
        <w:spacing w:before="0" w:after="0" w:line="500" w:lineRule="exact"/>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31.用户反馈和评价机制</w:t>
      </w:r>
    </w:p>
    <w:p w14:paraId="019FE4EC">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31.1本项目征集人</w:t>
      </w:r>
      <w:r>
        <w:rPr>
          <w:rFonts w:ascii="宋体" w:hAnsi="宋体"/>
          <w:bCs/>
          <w:color w:val="auto"/>
          <w:sz w:val="24"/>
          <w:szCs w:val="24"/>
          <w:highlight w:val="none"/>
        </w:rPr>
        <w:t>建立</w:t>
      </w:r>
      <w:r>
        <w:rPr>
          <w:rFonts w:hint="eastAsia" w:ascii="宋体" w:hAnsi="宋体"/>
          <w:bCs/>
          <w:color w:val="auto"/>
          <w:sz w:val="24"/>
          <w:szCs w:val="24"/>
          <w:highlight w:val="none"/>
        </w:rPr>
        <w:t>用户反馈和评价机制，接受采购人和服务对象对入围供应商履行框架协议和采购合同情况的反馈与评价，并将用户反馈和评价情况向采购人和服务对象公开，作为第二阶段选定成交供应商的参考。</w:t>
      </w:r>
    </w:p>
    <w:p w14:paraId="59F9B360">
      <w:pPr>
        <w:pStyle w:val="6"/>
        <w:keepNext w:val="0"/>
        <w:keepLines w:val="0"/>
        <w:spacing w:before="0" w:after="0" w:line="500" w:lineRule="exact"/>
        <w:ind w:firstLine="422"/>
        <w:rPr>
          <w:rFonts w:ascii="宋体" w:hAnsi="宋体" w:eastAsia="宋体"/>
          <w:bCs w:val="0"/>
          <w:color w:val="auto"/>
          <w:highlight w:val="none"/>
          <w:lang w:eastAsia="zh-CN"/>
        </w:rPr>
      </w:pPr>
      <w:r>
        <w:rPr>
          <w:rFonts w:hint="eastAsia" w:ascii="宋体" w:hAnsi="宋体" w:eastAsia="宋体"/>
          <w:bCs w:val="0"/>
          <w:color w:val="auto"/>
          <w:highlight w:val="none"/>
          <w:lang w:eastAsia="zh-CN"/>
        </w:rPr>
        <w:t>32.其他未尽事宜</w:t>
      </w:r>
    </w:p>
    <w:p w14:paraId="54BE0F03">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32.1关于本项目的报价要求、采购资金的支付方式、时间和条件、入围产品（服务）升级换代规则等详见本征集文件第三章《框架协议文本和采购合同文本》或第四章《采购需求》。</w:t>
      </w:r>
    </w:p>
    <w:p w14:paraId="5C53F7AD">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32.2入围供应商须按照征集文件要求和框架协议约定接受采购人或者服务对象的合同授予，并履行政府采购合同。</w:t>
      </w:r>
    </w:p>
    <w:p w14:paraId="70CAFE47">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32.</w:t>
      </w:r>
      <w:r>
        <w:rPr>
          <w:rFonts w:ascii="宋体" w:hAnsi="宋体"/>
          <w:bCs/>
          <w:color w:val="auto"/>
          <w:sz w:val="24"/>
          <w:szCs w:val="24"/>
          <w:highlight w:val="none"/>
        </w:rPr>
        <w:t>3</w:t>
      </w:r>
      <w:r>
        <w:rPr>
          <w:rFonts w:hint="eastAsia" w:ascii="宋体" w:hAnsi="宋体"/>
          <w:bCs/>
          <w:color w:val="auto"/>
          <w:sz w:val="24"/>
          <w:szCs w:val="24"/>
          <w:highlight w:val="none"/>
        </w:rPr>
        <w:t>入围供应商为具体采购人或服务对象开具合法的发票，采购人或服务对象须按规定及时规范进行费用结算支付。</w:t>
      </w:r>
    </w:p>
    <w:p w14:paraId="0054A91A">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32.</w:t>
      </w:r>
      <w:r>
        <w:rPr>
          <w:rFonts w:ascii="宋体" w:hAnsi="宋体"/>
          <w:bCs/>
          <w:color w:val="auto"/>
          <w:sz w:val="24"/>
          <w:szCs w:val="24"/>
          <w:highlight w:val="none"/>
        </w:rPr>
        <w:t>4</w:t>
      </w:r>
      <w:r>
        <w:rPr>
          <w:rFonts w:hint="eastAsia" w:ascii="宋体" w:hAnsi="宋体"/>
          <w:bCs/>
          <w:color w:val="auto"/>
          <w:sz w:val="24"/>
          <w:szCs w:val="24"/>
          <w:highlight w:val="none"/>
        </w:rPr>
        <w:t>实行政府采购供应商诚信管理制度。对供应商失信行为、不良行为等诚信信息，在本次框架协议采购实施工作中予以记录并按规定进行处理。</w:t>
      </w:r>
    </w:p>
    <w:p w14:paraId="5D0E0695">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32.</w:t>
      </w:r>
      <w:r>
        <w:rPr>
          <w:rFonts w:ascii="宋体" w:hAnsi="宋体"/>
          <w:bCs/>
          <w:color w:val="auto"/>
          <w:sz w:val="24"/>
          <w:szCs w:val="24"/>
          <w:highlight w:val="none"/>
        </w:rPr>
        <w:t>5</w:t>
      </w:r>
      <w:r>
        <w:rPr>
          <w:rFonts w:hint="eastAsia" w:ascii="宋体" w:hAnsi="宋体"/>
          <w:bCs/>
          <w:color w:val="auto"/>
          <w:sz w:val="24"/>
          <w:szCs w:val="24"/>
          <w:highlight w:val="none"/>
        </w:rPr>
        <w:t xml:space="preserve"> </w:t>
      </w:r>
      <w:bookmarkStart w:id="204" w:name="OLE_LINK94"/>
      <w:bookmarkStart w:id="205" w:name="OLE_LINK92"/>
      <w:bookmarkStart w:id="206" w:name="OLE_LINK93"/>
      <w:r>
        <w:rPr>
          <w:rFonts w:hint="eastAsia" w:ascii="宋体" w:hAnsi="宋体"/>
          <w:bCs/>
          <w:color w:val="auto"/>
          <w:sz w:val="24"/>
          <w:szCs w:val="24"/>
          <w:highlight w:val="none"/>
        </w:rPr>
        <w:t>在项目评审结束至协议履约期间，采购代理机构及征集人有权要求供应商出具申请文件中的相关证明材料原件，予以确认其真实性和有效性</w:t>
      </w:r>
      <w:bookmarkEnd w:id="204"/>
      <w:bookmarkEnd w:id="205"/>
      <w:bookmarkEnd w:id="206"/>
      <w:r>
        <w:rPr>
          <w:rFonts w:hint="eastAsia" w:ascii="宋体" w:hAnsi="宋体"/>
          <w:bCs/>
          <w:color w:val="auto"/>
          <w:sz w:val="24"/>
          <w:szCs w:val="24"/>
          <w:highlight w:val="none"/>
        </w:rPr>
        <w:t>。</w:t>
      </w:r>
    </w:p>
    <w:p w14:paraId="57E15F56">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32.</w:t>
      </w:r>
      <w:r>
        <w:rPr>
          <w:rFonts w:ascii="宋体" w:hAnsi="宋体"/>
          <w:bCs/>
          <w:color w:val="auto"/>
          <w:sz w:val="24"/>
          <w:szCs w:val="24"/>
          <w:highlight w:val="none"/>
        </w:rPr>
        <w:t>6</w:t>
      </w:r>
      <w:r>
        <w:rPr>
          <w:rFonts w:hint="eastAsia" w:ascii="宋体" w:hAnsi="宋体"/>
          <w:bCs/>
          <w:color w:val="auto"/>
          <w:sz w:val="24"/>
          <w:szCs w:val="24"/>
          <w:highlight w:val="none"/>
        </w:rPr>
        <w:t>入围供应商应全面履行本项目实施过程中的相关安全管理职责，因入围供应商未尽到管理职责发生安全事故的，由入围供应商承担相应的法律责任和经济赔偿责任。</w:t>
      </w:r>
    </w:p>
    <w:p w14:paraId="45E54493">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32.7入围供应商应对项目资金进行规范的财务管理和会计核算，加强自身监督，确保资金规范管理和使用，按要求向征集人提供资金的使用情况、项目执行情况、成果总结等材料，并配合征集人及征集人组织的监督检查或绩效评价，无条件接受和配合征集人或征集人委托的会计师事务所进行的与本协议相关的审计。</w:t>
      </w:r>
    </w:p>
    <w:p w14:paraId="321183AD">
      <w:pPr>
        <w:spacing w:line="500" w:lineRule="exact"/>
        <w:ind w:firstLine="480"/>
        <w:rPr>
          <w:rFonts w:ascii="宋体" w:hAnsi="宋体"/>
          <w:bCs/>
          <w:color w:val="auto"/>
          <w:sz w:val="24"/>
          <w:szCs w:val="24"/>
          <w:highlight w:val="none"/>
        </w:rPr>
      </w:pPr>
      <w:r>
        <w:rPr>
          <w:rFonts w:hint="eastAsia" w:ascii="宋体" w:hAnsi="宋体"/>
          <w:bCs/>
          <w:color w:val="auto"/>
          <w:sz w:val="24"/>
          <w:szCs w:val="24"/>
          <w:highlight w:val="none"/>
        </w:rPr>
        <w:t>32.8省级以上财政部门规定的其他事项。</w:t>
      </w:r>
      <w:bookmarkEnd w:id="201"/>
      <w:bookmarkEnd w:id="202"/>
      <w:bookmarkEnd w:id="203"/>
      <w:bookmarkStart w:id="207" w:name="_Toc513029242"/>
      <w:bookmarkStart w:id="208" w:name="_Toc120614221"/>
      <w:bookmarkStart w:id="209" w:name="_Toc479757207"/>
      <w:bookmarkStart w:id="210" w:name="_Toc16938558"/>
      <w:bookmarkStart w:id="211" w:name="_Toc20823314"/>
    </w:p>
    <w:p w14:paraId="27537193">
      <w:pPr>
        <w:jc w:val="center"/>
        <w:rPr>
          <w:rFonts w:ascii="宋体" w:hAnsi="宋体"/>
          <w:color w:val="auto"/>
          <w:sz w:val="24"/>
          <w:szCs w:val="24"/>
          <w:highlight w:val="none"/>
        </w:rPr>
      </w:pPr>
      <w:r>
        <w:rPr>
          <w:rFonts w:hint="eastAsia" w:ascii="宋体" w:hAnsi="宋体"/>
          <w:bCs/>
          <w:color w:val="auto"/>
          <w:sz w:val="24"/>
          <w:szCs w:val="24"/>
          <w:highlight w:val="none"/>
        </w:rPr>
        <w:br w:type="page" w:clear="all"/>
      </w:r>
      <w:r>
        <w:rPr>
          <w:rFonts w:hint="eastAsia" w:ascii="黑体" w:hAnsi="黑体" w:eastAsia="黑体"/>
          <w:color w:val="auto"/>
          <w:sz w:val="36"/>
          <w:szCs w:val="36"/>
          <w:highlight w:val="none"/>
        </w:rPr>
        <w:t xml:space="preserve">第三章  </w:t>
      </w:r>
      <w:bookmarkEnd w:id="207"/>
      <w:bookmarkEnd w:id="208"/>
      <w:bookmarkEnd w:id="209"/>
      <w:bookmarkEnd w:id="210"/>
      <w:bookmarkEnd w:id="211"/>
      <w:r>
        <w:rPr>
          <w:rFonts w:hint="eastAsia" w:ascii="黑体" w:hAnsi="黑体" w:eastAsia="黑体"/>
          <w:color w:val="auto"/>
          <w:sz w:val="36"/>
          <w:szCs w:val="36"/>
          <w:highlight w:val="none"/>
        </w:rPr>
        <w:t>框架协议文本和采购合同文本</w:t>
      </w:r>
      <w:bookmarkStart w:id="212" w:name="_Toc20823315"/>
      <w:bookmarkStart w:id="213" w:name="_Toc513029243"/>
      <w:bookmarkStart w:id="214" w:name="_Toc16938559"/>
    </w:p>
    <w:p w14:paraId="079F80A8">
      <w:pPr>
        <w:tabs>
          <w:tab w:val="left" w:pos="1440"/>
        </w:tabs>
        <w:spacing w:line="500" w:lineRule="exact"/>
        <w:jc w:val="center"/>
        <w:outlineLvl w:val="0"/>
        <w:rPr>
          <w:rFonts w:ascii="宋体" w:hAnsi="宋体"/>
          <w:b/>
          <w:color w:val="auto"/>
          <w:sz w:val="30"/>
          <w:szCs w:val="30"/>
          <w:highlight w:val="none"/>
        </w:rPr>
      </w:pPr>
      <w:r>
        <w:rPr>
          <w:rFonts w:hint="eastAsia" w:ascii="宋体" w:hAnsi="宋体"/>
          <w:b/>
          <w:color w:val="auto"/>
          <w:sz w:val="30"/>
          <w:szCs w:val="30"/>
          <w:highlight w:val="none"/>
        </w:rPr>
        <w:t>第一部分  框架协议文本</w:t>
      </w:r>
      <w:bookmarkStart w:id="215" w:name="_Toc7330"/>
    </w:p>
    <w:p w14:paraId="3AD76D11">
      <w:pPr>
        <w:tabs>
          <w:tab w:val="left" w:pos="1440"/>
        </w:tabs>
        <w:spacing w:line="500" w:lineRule="exact"/>
        <w:jc w:val="center"/>
        <w:outlineLvl w:val="0"/>
        <w:rPr>
          <w:rFonts w:ascii="宋体" w:hAnsi="宋体"/>
          <w:b/>
          <w:color w:val="auto"/>
          <w:sz w:val="30"/>
          <w:szCs w:val="20"/>
          <w:highlight w:val="none"/>
        </w:rPr>
      </w:pPr>
      <w:r>
        <w:rPr>
          <w:rFonts w:hint="eastAsia" w:ascii="宋体" w:hAnsi="宋体"/>
          <w:b/>
          <w:color w:val="auto"/>
          <w:sz w:val="30"/>
          <w:szCs w:val="20"/>
          <w:highlight w:val="none"/>
        </w:rPr>
        <w:t>无锡市政府采购框架协议文本（服务）（框架协议编号）</w:t>
      </w:r>
      <w:bookmarkEnd w:id="215"/>
    </w:p>
    <w:p w14:paraId="0191399C">
      <w:pPr>
        <w:pStyle w:val="23"/>
        <w:spacing w:before="120" w:after="120" w:line="5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项目名称：</w:t>
      </w:r>
    </w:p>
    <w:p w14:paraId="273ABA1A">
      <w:pPr>
        <w:pStyle w:val="23"/>
        <w:spacing w:before="120" w:after="120" w:line="5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项目编号：</w:t>
      </w:r>
    </w:p>
    <w:p w14:paraId="37FC0C37">
      <w:pPr>
        <w:pStyle w:val="23"/>
        <w:spacing w:before="120" w:after="120" w:line="5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甲方：（征集人）无锡市滨湖区残疾人联合会</w:t>
      </w:r>
    </w:p>
    <w:p w14:paraId="16231594">
      <w:pPr>
        <w:pStyle w:val="23"/>
        <w:spacing w:before="120" w:after="120" w:line="500" w:lineRule="exact"/>
        <w:rPr>
          <w:rFonts w:hAnsi="宋体" w:cs="宋体"/>
          <w:color w:val="auto"/>
          <w:sz w:val="24"/>
          <w:szCs w:val="24"/>
          <w:highlight w:val="none"/>
          <w:lang w:eastAsia="zh-CN"/>
        </w:rPr>
      </w:pPr>
      <w:r>
        <w:rPr>
          <w:rFonts w:hint="eastAsia" w:hAnsi="宋体" w:cs="宋体"/>
          <w:color w:val="auto"/>
          <w:sz w:val="24"/>
          <w:szCs w:val="24"/>
          <w:highlight w:val="none"/>
          <w:lang w:eastAsia="zh-CN"/>
        </w:rPr>
        <w:t>乙方：（入围供应商）__________________</w:t>
      </w:r>
    </w:p>
    <w:p w14:paraId="649EDC29">
      <w:pPr>
        <w:pStyle w:val="23"/>
        <w:spacing w:before="120" w:after="120"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甲、乙双方根据</w:t>
      </w:r>
      <w:r>
        <w:rPr>
          <w:rFonts w:hint="eastAsia" w:hAnsi="宋体"/>
          <w:color w:val="auto"/>
          <w:sz w:val="24"/>
          <w:szCs w:val="24"/>
          <w:highlight w:val="none"/>
          <w:lang w:eastAsia="zh-CN"/>
        </w:rPr>
        <w:t>2026-2027年度滨湖区残疾儿童基本康复训练服务定点机构项目框架协议采购</w:t>
      </w:r>
      <w:r>
        <w:rPr>
          <w:rFonts w:hint="eastAsia" w:hAnsi="宋体" w:cs="宋体"/>
          <w:color w:val="auto"/>
          <w:sz w:val="24"/>
          <w:szCs w:val="24"/>
          <w:highlight w:val="none"/>
          <w:lang w:eastAsia="zh-CN"/>
        </w:rPr>
        <w:t>框架协议采购的结果，签署本文本。</w:t>
      </w:r>
    </w:p>
    <w:p w14:paraId="2A0E74A6">
      <w:pPr>
        <w:pStyle w:val="23"/>
        <w:spacing w:before="120" w:after="120" w:line="500" w:lineRule="exact"/>
        <w:ind w:firstLine="482"/>
        <w:rPr>
          <w:rFonts w:hAnsi="宋体" w:cs="宋体"/>
          <w:b/>
          <w:color w:val="auto"/>
          <w:sz w:val="24"/>
          <w:szCs w:val="24"/>
          <w:highlight w:val="none"/>
          <w:lang w:eastAsia="zh-CN"/>
        </w:rPr>
      </w:pPr>
      <w:r>
        <w:rPr>
          <w:rFonts w:hint="eastAsia" w:hAnsi="宋体" w:cs="宋体"/>
          <w:b/>
          <w:color w:val="auto"/>
          <w:sz w:val="24"/>
          <w:szCs w:val="24"/>
          <w:highlight w:val="none"/>
          <w:lang w:eastAsia="zh-CN"/>
        </w:rPr>
        <w:t>一、项目基本情况</w:t>
      </w:r>
    </w:p>
    <w:p w14:paraId="2AD4F70F">
      <w:pPr>
        <w:pStyle w:val="23"/>
        <w:spacing w:before="120" w:after="120" w:line="500" w:lineRule="exact"/>
        <w:ind w:firstLine="480"/>
        <w:rPr>
          <w:rFonts w:hAnsi="宋体" w:cs="宋体"/>
          <w:color w:val="auto"/>
          <w:sz w:val="24"/>
          <w:szCs w:val="24"/>
          <w:highlight w:val="none"/>
          <w:u w:val="single"/>
          <w:lang w:eastAsia="zh-CN"/>
        </w:rPr>
      </w:pPr>
      <w:r>
        <w:rPr>
          <w:rFonts w:hint="eastAsia" w:hAnsi="宋体" w:cs="宋体"/>
          <w:color w:val="auto"/>
          <w:sz w:val="24"/>
          <w:szCs w:val="24"/>
          <w:highlight w:val="none"/>
          <w:lang w:eastAsia="zh-CN"/>
        </w:rPr>
        <w:t>1.1 采购需求：</w:t>
      </w:r>
      <w:r>
        <w:rPr>
          <w:rFonts w:hint="eastAsia" w:hAnsi="宋体" w:cs="宋体"/>
          <w:color w:val="auto"/>
          <w:sz w:val="24"/>
          <w:szCs w:val="24"/>
          <w:highlight w:val="none"/>
          <w:u w:val="single"/>
          <w:lang w:eastAsia="zh-CN"/>
        </w:rPr>
        <w:t>见征集文件</w:t>
      </w:r>
    </w:p>
    <w:p w14:paraId="1FD31A1F">
      <w:pPr>
        <w:pStyle w:val="23"/>
        <w:spacing w:before="120" w:after="120"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1.2 产品最高限制单价：</w:t>
      </w:r>
      <w:bookmarkStart w:id="216" w:name="OLE_LINK85"/>
      <w:bookmarkStart w:id="217" w:name="OLE_LINK86"/>
      <w:bookmarkStart w:id="218" w:name="OLE_LINK103"/>
      <w:bookmarkStart w:id="219" w:name="OLE_LINK102"/>
      <w:r>
        <w:rPr>
          <w:rFonts w:hint="eastAsia" w:hAnsi="宋体" w:cs="宋体"/>
          <w:b/>
          <w:color w:val="auto"/>
          <w:sz w:val="24"/>
          <w:szCs w:val="24"/>
          <w:highlight w:val="none"/>
          <w:lang w:eastAsia="zh-CN"/>
        </w:rPr>
        <w:t>按《市政府办印发关于完善残疾儿童康复救助制度的实施办法的通知》（锡政办发〔2019〕43号）和《市残联市财政局关于优化残疾儿童康复救助工作的通知》（锡残〔2023〕19号）中相关政策标准执行，后续如有政府相关部门出台更新救助范围、救助标准，则按最新救助范围和标准执行</w:t>
      </w:r>
      <w:bookmarkEnd w:id="216"/>
      <w:bookmarkEnd w:id="217"/>
      <w:r>
        <w:rPr>
          <w:rFonts w:hint="eastAsia" w:hAnsi="宋体" w:cs="宋体"/>
          <w:b/>
          <w:color w:val="auto"/>
          <w:sz w:val="24"/>
          <w:szCs w:val="24"/>
          <w:highlight w:val="none"/>
          <w:lang w:eastAsia="zh-CN"/>
        </w:rPr>
        <w:t>。</w:t>
      </w:r>
      <w:bookmarkEnd w:id="218"/>
      <w:bookmarkEnd w:id="219"/>
    </w:p>
    <w:p w14:paraId="6ABAC235">
      <w:pPr>
        <w:pStyle w:val="23"/>
        <w:spacing w:before="120" w:after="120"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1.3 适用本次框架协议的采购人或服务对象范围：</w:t>
      </w:r>
      <w:bookmarkStart w:id="220" w:name="OLE_LINK18"/>
      <w:bookmarkStart w:id="221" w:name="OLE_LINK17"/>
      <w:r>
        <w:rPr>
          <w:rFonts w:hint="eastAsia" w:hAnsi="宋体"/>
          <w:color w:val="auto"/>
          <w:sz w:val="24"/>
          <w:szCs w:val="24"/>
          <w:highlight w:val="none"/>
          <w:lang w:eastAsia="zh-CN"/>
        </w:rPr>
        <w:t>本部门本系统自采自用，服务对象为经诊断或评估有康复需求和康复意愿的我市户籍0-14周岁视力和听力（言语）残疾儿童、0-17周岁肢体（脑瘫）、智力残疾和孤独症儿童,符合《省残联办公室关于落实扩大残疾儿童基本康复服务对象有关事项的通知》(苏残办发〔2025〕4号)持本市居住证救助条件的残疾儿童（本次采购完成后，如无锡市出台更新救助范围、救助标准，按最新救助范围和标准执行）</w:t>
      </w:r>
    </w:p>
    <w:p w14:paraId="093C663F">
      <w:pPr>
        <w:pStyle w:val="23"/>
        <w:spacing w:before="120" w:after="120" w:line="500" w:lineRule="exact"/>
        <w:ind w:firstLine="480"/>
        <w:rPr>
          <w:rFonts w:hAnsi="宋体" w:cs="宋体"/>
          <w:color w:val="auto"/>
          <w:sz w:val="24"/>
          <w:szCs w:val="24"/>
          <w:highlight w:val="none"/>
          <w:u w:val="single"/>
          <w:lang w:eastAsia="zh-CN"/>
        </w:rPr>
      </w:pPr>
      <w:r>
        <w:rPr>
          <w:rFonts w:hint="eastAsia" w:hAnsi="宋体" w:cs="宋体"/>
          <w:color w:val="auto"/>
          <w:sz w:val="24"/>
          <w:szCs w:val="24"/>
          <w:highlight w:val="none"/>
          <w:lang w:eastAsia="zh-CN"/>
        </w:rPr>
        <w:t>1.4 履行合同的地域范</w:t>
      </w:r>
      <w:bookmarkEnd w:id="220"/>
      <w:bookmarkEnd w:id="221"/>
      <w:r>
        <w:rPr>
          <w:rFonts w:hint="eastAsia" w:hAnsi="宋体" w:cs="宋体"/>
          <w:color w:val="auto"/>
          <w:sz w:val="24"/>
          <w:szCs w:val="24"/>
          <w:highlight w:val="none"/>
          <w:lang w:eastAsia="zh-CN"/>
        </w:rPr>
        <w:t>围：</w:t>
      </w:r>
      <w:r>
        <w:rPr>
          <w:rFonts w:hint="eastAsia" w:hAnsi="宋体" w:cs="宋体"/>
          <w:color w:val="auto"/>
          <w:sz w:val="24"/>
          <w:szCs w:val="24"/>
          <w:highlight w:val="none"/>
          <w:u w:val="single"/>
          <w:lang w:eastAsia="zh-CN"/>
        </w:rPr>
        <w:t>无锡市</w:t>
      </w:r>
    </w:p>
    <w:p w14:paraId="33F29779">
      <w:pPr>
        <w:pStyle w:val="23"/>
        <w:spacing w:before="120" w:after="120" w:line="500" w:lineRule="exact"/>
        <w:ind w:firstLine="482"/>
        <w:rPr>
          <w:rFonts w:hAnsi="宋体" w:cs="宋体"/>
          <w:b/>
          <w:color w:val="auto"/>
          <w:sz w:val="24"/>
          <w:szCs w:val="24"/>
          <w:highlight w:val="none"/>
          <w:lang w:eastAsia="zh-CN"/>
        </w:rPr>
      </w:pPr>
      <w:r>
        <w:rPr>
          <w:rFonts w:hint="eastAsia" w:hAnsi="宋体" w:cs="宋体"/>
          <w:b/>
          <w:color w:val="auto"/>
          <w:sz w:val="24"/>
          <w:szCs w:val="24"/>
          <w:highlight w:val="none"/>
          <w:lang w:eastAsia="zh-CN"/>
        </w:rPr>
        <w:t>二、第一阶段入围产品的相关信息</w:t>
      </w:r>
    </w:p>
    <w:p w14:paraId="7703EA2A">
      <w:pPr>
        <w:pStyle w:val="23"/>
        <w:spacing w:before="120" w:after="120" w:line="500" w:lineRule="exact"/>
        <w:ind w:firstLine="480"/>
        <w:rPr>
          <w:rFonts w:hAnsi="宋体" w:cs="宋体"/>
          <w:color w:val="auto"/>
          <w:sz w:val="24"/>
          <w:szCs w:val="24"/>
          <w:highlight w:val="none"/>
          <w:u w:val="single"/>
          <w:lang w:eastAsia="zh-CN"/>
        </w:rPr>
      </w:pPr>
      <w:r>
        <w:rPr>
          <w:rFonts w:hint="eastAsia" w:hAnsi="宋体" w:cs="宋体"/>
          <w:color w:val="auto"/>
          <w:sz w:val="24"/>
          <w:szCs w:val="24"/>
          <w:highlight w:val="none"/>
          <w:lang w:eastAsia="zh-CN"/>
        </w:rPr>
        <w:t>2.1 入围产品详细技术规格：</w:t>
      </w:r>
      <w:r>
        <w:rPr>
          <w:rFonts w:hint="eastAsia" w:hAnsi="宋体" w:cs="宋体"/>
          <w:color w:val="auto"/>
          <w:sz w:val="24"/>
          <w:szCs w:val="24"/>
          <w:highlight w:val="none"/>
          <w:u w:val="single"/>
          <w:lang w:eastAsia="zh-CN"/>
        </w:rPr>
        <w:t>/</w:t>
      </w:r>
    </w:p>
    <w:p w14:paraId="1B5CF21B">
      <w:pPr>
        <w:pStyle w:val="23"/>
        <w:spacing w:before="120" w:after="120" w:line="500" w:lineRule="exact"/>
        <w:ind w:firstLine="480"/>
        <w:rPr>
          <w:rFonts w:hAnsi="宋体" w:cs="宋体"/>
          <w:color w:val="auto"/>
          <w:sz w:val="24"/>
          <w:szCs w:val="24"/>
          <w:highlight w:val="none"/>
          <w:u w:val="single"/>
          <w:lang w:eastAsia="zh-CN"/>
        </w:rPr>
      </w:pPr>
      <w:r>
        <w:rPr>
          <w:rFonts w:hint="eastAsia" w:hAnsi="宋体" w:cs="宋体"/>
          <w:color w:val="auto"/>
          <w:sz w:val="24"/>
          <w:szCs w:val="24"/>
          <w:highlight w:val="none"/>
          <w:lang w:eastAsia="zh-CN"/>
        </w:rPr>
        <w:t>2.2 服务标准：</w:t>
      </w:r>
      <w:r>
        <w:rPr>
          <w:rFonts w:hint="eastAsia" w:hAnsi="宋体" w:cs="宋体"/>
          <w:color w:val="auto"/>
          <w:sz w:val="24"/>
          <w:szCs w:val="24"/>
          <w:highlight w:val="none"/>
          <w:u w:val="single"/>
          <w:lang w:eastAsia="zh-CN"/>
        </w:rPr>
        <w:t>见响应文件</w:t>
      </w:r>
    </w:p>
    <w:p w14:paraId="242ADEEA">
      <w:pPr>
        <w:pStyle w:val="23"/>
        <w:spacing w:before="120" w:after="120" w:line="500" w:lineRule="exact"/>
        <w:ind w:firstLine="480"/>
        <w:rPr>
          <w:rFonts w:hAnsi="宋体" w:cs="宋体"/>
          <w:color w:val="auto"/>
          <w:sz w:val="24"/>
          <w:szCs w:val="24"/>
          <w:highlight w:val="none"/>
          <w:u w:val="single"/>
          <w:lang w:eastAsia="zh-CN"/>
        </w:rPr>
      </w:pPr>
      <w:r>
        <w:rPr>
          <w:rFonts w:hint="eastAsia" w:hAnsi="宋体" w:cs="宋体"/>
          <w:color w:val="auto"/>
          <w:sz w:val="24"/>
          <w:szCs w:val="24"/>
          <w:highlight w:val="none"/>
          <w:lang w:eastAsia="zh-CN"/>
        </w:rPr>
        <w:t>2.3 服务协议价格：</w:t>
      </w:r>
      <w:r>
        <w:rPr>
          <w:rFonts w:hint="eastAsia" w:hAnsi="宋体" w:cs="宋体"/>
          <w:b/>
          <w:color w:val="auto"/>
          <w:sz w:val="24"/>
          <w:szCs w:val="24"/>
          <w:highlight w:val="none"/>
          <w:lang w:eastAsia="zh-CN"/>
        </w:rPr>
        <w:t>按《市政府办印发关于完善残疾儿童康复救助制度的实施办法的通知》（锡政办发〔2019〕43号）和《市残联市财政局关于优化残疾儿童康复救助工作的通知》（锡残〔2023〕19号）中相关政策标准执行，后续如有政府相关部门出台更新救助范围、救助标准，则按最新救助范围和标准执行。</w:t>
      </w:r>
    </w:p>
    <w:p w14:paraId="65EA1315">
      <w:pPr>
        <w:pStyle w:val="23"/>
        <w:spacing w:before="120" w:after="120" w:line="500" w:lineRule="exact"/>
        <w:ind w:firstLine="482"/>
        <w:rPr>
          <w:rFonts w:hAnsi="宋体" w:cs="宋体"/>
          <w:b/>
          <w:color w:val="auto"/>
          <w:sz w:val="24"/>
          <w:szCs w:val="24"/>
          <w:highlight w:val="none"/>
          <w:lang w:eastAsia="zh-CN"/>
        </w:rPr>
      </w:pPr>
      <w:r>
        <w:rPr>
          <w:rFonts w:hint="eastAsia" w:hAnsi="宋体" w:cs="宋体"/>
          <w:b/>
          <w:color w:val="auto"/>
          <w:sz w:val="24"/>
          <w:szCs w:val="24"/>
          <w:highlight w:val="none"/>
          <w:lang w:eastAsia="zh-CN"/>
        </w:rPr>
        <w:t>三、入围产品升级换代规则</w:t>
      </w:r>
    </w:p>
    <w:p w14:paraId="0D2E7B52">
      <w:pPr>
        <w:pStyle w:val="23"/>
        <w:spacing w:before="120" w:after="120" w:line="500" w:lineRule="exact"/>
        <w:ind w:firstLine="480"/>
        <w:rPr>
          <w:rFonts w:hAnsi="宋体" w:cs="宋体"/>
          <w:color w:val="auto"/>
          <w:sz w:val="24"/>
          <w:szCs w:val="24"/>
          <w:highlight w:val="none"/>
          <w:lang w:val="zh-CN" w:eastAsia="zh-CN"/>
        </w:rPr>
      </w:pPr>
      <w:r>
        <w:rPr>
          <w:rFonts w:hint="eastAsia" w:hAnsi="宋体" w:cs="宋体"/>
          <w:color w:val="auto"/>
          <w:sz w:val="24"/>
          <w:szCs w:val="24"/>
          <w:highlight w:val="none"/>
          <w:lang w:val="zh-CN" w:eastAsia="zh-CN"/>
        </w:rPr>
        <w:t>本项目框架协议期内，不对入围服务进行升级换代。</w:t>
      </w:r>
    </w:p>
    <w:p w14:paraId="5744E199">
      <w:pPr>
        <w:pStyle w:val="23"/>
        <w:spacing w:before="120" w:after="120" w:line="500" w:lineRule="exact"/>
        <w:ind w:firstLine="482"/>
        <w:rPr>
          <w:rFonts w:hAnsi="宋体" w:cs="宋体"/>
          <w:b/>
          <w:color w:val="auto"/>
          <w:sz w:val="24"/>
          <w:szCs w:val="24"/>
          <w:highlight w:val="none"/>
          <w:lang w:eastAsia="zh-CN"/>
        </w:rPr>
      </w:pPr>
      <w:r>
        <w:rPr>
          <w:rFonts w:hint="eastAsia" w:hAnsi="宋体" w:cs="宋体"/>
          <w:b/>
          <w:color w:val="auto"/>
          <w:sz w:val="24"/>
          <w:szCs w:val="24"/>
          <w:highlight w:val="none"/>
          <w:lang w:eastAsia="zh-CN"/>
        </w:rPr>
        <w:t>四、确定第二阶段入围供应商的方式</w:t>
      </w:r>
    </w:p>
    <w:p w14:paraId="62E4875D">
      <w:pPr>
        <w:pStyle w:val="23"/>
        <w:spacing w:before="120" w:after="120" w:line="500" w:lineRule="exact"/>
        <w:ind w:firstLine="480"/>
        <w:rPr>
          <w:rFonts w:hAnsi="宋体" w:cs="宋体"/>
          <w:color w:val="auto"/>
          <w:sz w:val="24"/>
          <w:szCs w:val="24"/>
          <w:highlight w:val="none"/>
          <w:lang w:val="zh-CN" w:eastAsia="zh-CN"/>
        </w:rPr>
      </w:pPr>
      <w:bookmarkStart w:id="222" w:name="OLE_LINK101"/>
      <w:r>
        <w:rPr>
          <w:rFonts w:hint="eastAsia" w:hAnsi="宋体" w:cs="宋体"/>
          <w:color w:val="auto"/>
          <w:sz w:val="24"/>
          <w:szCs w:val="24"/>
          <w:highlight w:val="none"/>
          <w:lang w:val="zh-CN" w:eastAsia="zh-CN"/>
        </w:rPr>
        <w:t>由服务对象即残疾儿童或残疾儿童监护人直接选定。具体选定流程以《无锡市残疾儿童基本康复训练服务管理细则（2024年版）》（锡残〔</w:t>
      </w:r>
      <w:r>
        <w:rPr>
          <w:rFonts w:hAnsi="宋体" w:cs="宋体"/>
          <w:color w:val="auto"/>
          <w:sz w:val="24"/>
          <w:szCs w:val="24"/>
          <w:highlight w:val="none"/>
          <w:lang w:val="zh-CN" w:eastAsia="zh-CN"/>
        </w:rPr>
        <w:t>202</w:t>
      </w:r>
      <w:r>
        <w:rPr>
          <w:rFonts w:hint="eastAsia" w:hAnsi="宋体" w:cs="宋体"/>
          <w:color w:val="auto"/>
          <w:sz w:val="24"/>
          <w:szCs w:val="24"/>
          <w:highlight w:val="none"/>
          <w:lang w:val="zh-CN" w:eastAsia="zh-CN"/>
        </w:rPr>
        <w:t>4〕10号）为准，后续如有政策更新流程，以最新政策执行。</w:t>
      </w:r>
      <w:bookmarkEnd w:id="222"/>
    </w:p>
    <w:p w14:paraId="6E3E995A">
      <w:pPr>
        <w:pStyle w:val="23"/>
        <w:spacing w:before="120" w:after="120" w:line="500" w:lineRule="exact"/>
        <w:ind w:firstLine="482"/>
        <w:rPr>
          <w:rFonts w:hAnsi="宋体" w:cs="宋体"/>
          <w:b/>
          <w:color w:val="auto"/>
          <w:sz w:val="24"/>
          <w:szCs w:val="24"/>
          <w:highlight w:val="none"/>
          <w:lang w:eastAsia="zh-CN"/>
        </w:rPr>
      </w:pPr>
      <w:r>
        <w:rPr>
          <w:rFonts w:hint="eastAsia" w:hAnsi="宋体" w:cs="宋体"/>
          <w:b/>
          <w:color w:val="auto"/>
          <w:sz w:val="24"/>
          <w:szCs w:val="24"/>
          <w:highlight w:val="none"/>
          <w:lang w:eastAsia="zh-CN"/>
        </w:rPr>
        <w:t>五、资金支付方式、时间和条件</w:t>
      </w:r>
    </w:p>
    <w:p w14:paraId="20A406FB">
      <w:pPr>
        <w:pStyle w:val="23"/>
        <w:spacing w:before="120" w:after="120" w:line="500" w:lineRule="exact"/>
        <w:ind w:firstLine="480"/>
        <w:rPr>
          <w:rFonts w:hint="eastAsia" w:hAnsi="宋体" w:eastAsia="宋体"/>
          <w:color w:val="auto"/>
          <w:sz w:val="24"/>
          <w:szCs w:val="24"/>
          <w:highlight w:val="none"/>
          <w:lang w:eastAsia="zh-CN"/>
        </w:rPr>
      </w:pPr>
      <w:r>
        <w:rPr>
          <w:rFonts w:hint="eastAsia" w:ascii="宋体" w:hAnsi="宋体"/>
          <w:bCs/>
          <w:color w:val="auto"/>
          <w:sz w:val="24"/>
          <w:szCs w:val="24"/>
          <w:highlight w:val="none"/>
        </w:rPr>
        <w:t>采取据实结算方式，每年一季度由市、区残联会同第三方机构对供应商的服务情况进行年度质量评估，并在二季度根据供应商实际发生的费用及考核结果结算上一年度剩余资金，对考核不达标的，按相关文件扣减结算资金，并限期整改。每年二季度根据供应商实际发生的费用结算一季度资金，每年四季度根据供应商实际发生的费用结算二季度和三季度资金</w:t>
      </w:r>
      <w:r>
        <w:rPr>
          <w:rFonts w:hint="eastAsia" w:hAnsi="宋体"/>
          <w:bCs/>
          <w:color w:val="auto"/>
          <w:sz w:val="24"/>
          <w:szCs w:val="24"/>
          <w:highlight w:val="none"/>
          <w:lang w:eastAsia="zh-CN"/>
        </w:rPr>
        <w:t>。</w:t>
      </w:r>
    </w:p>
    <w:p w14:paraId="45367BB9">
      <w:pPr>
        <w:pStyle w:val="23"/>
        <w:spacing w:before="120" w:after="120" w:line="500" w:lineRule="exact"/>
        <w:ind w:firstLine="482"/>
        <w:rPr>
          <w:rFonts w:hAnsi="宋体" w:cs="宋体"/>
          <w:b/>
          <w:color w:val="auto"/>
          <w:sz w:val="24"/>
          <w:szCs w:val="24"/>
          <w:highlight w:val="none"/>
          <w:lang w:eastAsia="zh-CN"/>
        </w:rPr>
      </w:pPr>
      <w:r>
        <w:rPr>
          <w:rFonts w:hint="eastAsia" w:hAnsi="宋体" w:cs="宋体"/>
          <w:b/>
          <w:color w:val="auto"/>
          <w:sz w:val="24"/>
          <w:szCs w:val="24"/>
          <w:highlight w:val="none"/>
          <w:lang w:eastAsia="zh-CN"/>
        </w:rPr>
        <w:t>六、框架协议期限</w:t>
      </w:r>
    </w:p>
    <w:p w14:paraId="58352F3F">
      <w:pPr>
        <w:pStyle w:val="23"/>
        <w:spacing w:before="120" w:after="120" w:line="500" w:lineRule="exact"/>
        <w:ind w:firstLine="480"/>
        <w:rPr>
          <w:rFonts w:hAnsi="宋体"/>
          <w:color w:val="auto"/>
          <w:sz w:val="24"/>
          <w:szCs w:val="24"/>
          <w:highlight w:val="none"/>
          <w:lang w:eastAsia="zh-CN"/>
        </w:rPr>
      </w:pPr>
      <w:r>
        <w:rPr>
          <w:rFonts w:hint="eastAsia" w:hAnsi="宋体"/>
          <w:color w:val="auto"/>
          <w:sz w:val="24"/>
          <w:szCs w:val="24"/>
          <w:highlight w:val="none"/>
          <w:lang w:eastAsia="zh-CN"/>
        </w:rPr>
        <w:t>自框架协议签订生效之日起二年</w:t>
      </w:r>
      <w:bookmarkStart w:id="223" w:name="OLE_LINK21"/>
      <w:bookmarkStart w:id="224" w:name="OLE_LINK20"/>
      <w:r>
        <w:rPr>
          <w:rFonts w:hint="eastAsia" w:hAnsi="宋体"/>
          <w:color w:val="auto"/>
          <w:sz w:val="24"/>
          <w:szCs w:val="24"/>
          <w:highlight w:val="none"/>
          <w:lang w:eastAsia="zh-CN"/>
        </w:rPr>
        <w:t>（若省厅另有统一征集的，按省厅征集要求及结果执行，自省厅入围结果公告发布之日起自动终止）</w:t>
      </w:r>
      <w:bookmarkEnd w:id="223"/>
      <w:bookmarkEnd w:id="224"/>
      <w:r>
        <w:rPr>
          <w:rFonts w:hint="eastAsia" w:hAnsi="宋体"/>
          <w:color w:val="auto"/>
          <w:sz w:val="24"/>
          <w:szCs w:val="24"/>
          <w:highlight w:val="none"/>
          <w:lang w:eastAsia="zh-CN"/>
        </w:rPr>
        <w:t>。</w:t>
      </w:r>
    </w:p>
    <w:p w14:paraId="4B5BCAD4">
      <w:pPr>
        <w:pStyle w:val="23"/>
        <w:spacing w:before="120" w:after="120" w:line="500" w:lineRule="exact"/>
        <w:ind w:firstLine="482"/>
        <w:rPr>
          <w:rFonts w:hAnsi="宋体" w:cs="宋体"/>
          <w:b/>
          <w:color w:val="auto"/>
          <w:sz w:val="24"/>
          <w:szCs w:val="24"/>
          <w:highlight w:val="none"/>
          <w:lang w:eastAsia="zh-CN"/>
        </w:rPr>
      </w:pPr>
      <w:r>
        <w:rPr>
          <w:rFonts w:hint="eastAsia" w:hAnsi="宋体" w:cs="宋体"/>
          <w:b/>
          <w:color w:val="auto"/>
          <w:sz w:val="24"/>
          <w:szCs w:val="24"/>
          <w:highlight w:val="none"/>
          <w:lang w:eastAsia="zh-CN"/>
        </w:rPr>
        <w:t>七、入围供应商的清退和补充规则</w:t>
      </w:r>
    </w:p>
    <w:p w14:paraId="34FF98AB">
      <w:pPr>
        <w:pStyle w:val="23"/>
        <w:spacing w:before="120" w:after="120" w:line="500" w:lineRule="exact"/>
        <w:ind w:firstLine="480"/>
        <w:rPr>
          <w:rFonts w:hAnsi="宋体"/>
          <w:color w:val="auto"/>
          <w:sz w:val="24"/>
          <w:szCs w:val="24"/>
          <w:highlight w:val="none"/>
          <w:lang w:eastAsia="zh-CN"/>
        </w:rPr>
      </w:pPr>
      <w:r>
        <w:rPr>
          <w:rFonts w:hint="eastAsia" w:hAnsi="宋体"/>
          <w:color w:val="auto"/>
          <w:sz w:val="24"/>
          <w:szCs w:val="24"/>
          <w:highlight w:val="none"/>
          <w:lang w:eastAsia="zh-CN"/>
        </w:rPr>
        <w:t>7.1</w:t>
      </w:r>
      <w:bookmarkStart w:id="225" w:name="OLE_LINK81"/>
      <w:bookmarkStart w:id="226" w:name="OLE_LINK82"/>
      <w:r>
        <w:rPr>
          <w:rFonts w:hint="eastAsia" w:hAnsi="宋体"/>
          <w:color w:val="auto"/>
          <w:sz w:val="24"/>
          <w:szCs w:val="24"/>
          <w:highlight w:val="none"/>
          <w:lang w:eastAsia="zh-CN"/>
        </w:rPr>
        <w:t>入围供应商有下列情形之一，尚未签订框架协议的，取消其入围资格；已经签订框架协议的，解除与其签订的框架协议：</w:t>
      </w:r>
      <w:r>
        <w:rPr>
          <w:rFonts w:hAnsi="宋体"/>
          <w:color w:val="auto"/>
          <w:sz w:val="24"/>
          <w:szCs w:val="24"/>
          <w:highlight w:val="none"/>
          <w:lang w:eastAsia="zh-CN"/>
        </w:rPr>
        <w:t> </w:t>
      </w:r>
    </w:p>
    <w:p w14:paraId="4C909ABB">
      <w:pPr>
        <w:pStyle w:val="23"/>
        <w:spacing w:before="120" w:after="120" w:line="500" w:lineRule="exact"/>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①恶意串通谋取入围或者合同成交的；</w:t>
      </w:r>
      <w:r>
        <w:rPr>
          <w:rFonts w:hAnsi="宋体"/>
          <w:color w:val="auto"/>
          <w:sz w:val="24"/>
          <w:szCs w:val="24"/>
          <w:highlight w:val="none"/>
          <w:lang w:eastAsia="zh-CN"/>
        </w:rPr>
        <w:t> </w:t>
      </w:r>
    </w:p>
    <w:p w14:paraId="628CE421">
      <w:pPr>
        <w:pStyle w:val="23"/>
        <w:spacing w:before="120" w:after="120" w:line="500" w:lineRule="exact"/>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②提供虚假材料谋取入围或者合同成交的；</w:t>
      </w:r>
      <w:r>
        <w:rPr>
          <w:rFonts w:hAnsi="宋体"/>
          <w:color w:val="auto"/>
          <w:sz w:val="24"/>
          <w:szCs w:val="24"/>
          <w:highlight w:val="none"/>
          <w:lang w:eastAsia="zh-CN"/>
        </w:rPr>
        <w:t> </w:t>
      </w:r>
    </w:p>
    <w:p w14:paraId="5218AAEA">
      <w:pPr>
        <w:pStyle w:val="23"/>
        <w:spacing w:before="120" w:after="120" w:line="500" w:lineRule="exact"/>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③无正当理由拒不接受合同授予的；</w:t>
      </w:r>
      <w:r>
        <w:rPr>
          <w:rFonts w:hAnsi="宋体"/>
          <w:color w:val="auto"/>
          <w:sz w:val="24"/>
          <w:szCs w:val="24"/>
          <w:highlight w:val="none"/>
          <w:lang w:eastAsia="zh-CN"/>
        </w:rPr>
        <w:t> </w:t>
      </w:r>
    </w:p>
    <w:p w14:paraId="1761C68D">
      <w:pPr>
        <w:pStyle w:val="23"/>
        <w:spacing w:before="120" w:after="120" w:line="500" w:lineRule="exact"/>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④不履行合同义务或者履行合同义务不符合约定，经采购人请求履行后仍不履行或者仍未按约定履行的；</w:t>
      </w:r>
      <w:r>
        <w:rPr>
          <w:rFonts w:hAnsi="宋体"/>
          <w:color w:val="auto"/>
          <w:sz w:val="24"/>
          <w:szCs w:val="24"/>
          <w:highlight w:val="none"/>
          <w:lang w:eastAsia="zh-CN"/>
        </w:rPr>
        <w:t> </w:t>
      </w:r>
    </w:p>
    <w:p w14:paraId="1D0AC626">
      <w:pPr>
        <w:pStyle w:val="23"/>
        <w:spacing w:before="120" w:after="120" w:line="500" w:lineRule="exact"/>
        <w:ind w:firstLine="480"/>
        <w:rPr>
          <w:rFonts w:hint="eastAsia" w:hAnsi="宋体"/>
          <w:color w:val="auto"/>
          <w:sz w:val="24"/>
          <w:szCs w:val="24"/>
          <w:highlight w:val="none"/>
          <w:lang w:eastAsia="zh-CN"/>
        </w:rPr>
      </w:pPr>
      <w:r>
        <w:rPr>
          <w:rFonts w:hint="eastAsia" w:hAnsi="宋体"/>
          <w:color w:val="auto"/>
          <w:sz w:val="24"/>
          <w:szCs w:val="24"/>
          <w:highlight w:val="none"/>
          <w:lang w:eastAsia="zh-CN"/>
        </w:rPr>
        <w:fldChar w:fldCharType="begin"/>
      </w:r>
      <w:r>
        <w:rPr>
          <w:rFonts w:hint="eastAsia" w:hAnsi="宋体"/>
          <w:color w:val="auto"/>
          <w:sz w:val="24"/>
          <w:szCs w:val="24"/>
          <w:highlight w:val="none"/>
          <w:lang w:eastAsia="zh-CN"/>
        </w:rPr>
        <w:instrText xml:space="preserve"> = 5 \* GB3 </w:instrText>
      </w:r>
      <w:r>
        <w:rPr>
          <w:rFonts w:hAnsi="宋体"/>
          <w:color w:val="auto"/>
          <w:sz w:val="24"/>
          <w:szCs w:val="24"/>
          <w:highlight w:val="none"/>
          <w:lang w:eastAsia="zh-CN"/>
        </w:rPr>
        <w:fldChar w:fldCharType="separate"/>
      </w:r>
      <w:r>
        <w:rPr>
          <w:rFonts w:hint="eastAsia" w:hAnsi="宋体"/>
          <w:color w:val="auto"/>
          <w:sz w:val="24"/>
          <w:szCs w:val="24"/>
          <w:highlight w:val="none"/>
          <w:lang w:eastAsia="zh-CN"/>
        </w:rPr>
        <w:t>⑤</w:t>
      </w:r>
      <w:r>
        <w:rPr>
          <w:rFonts w:hint="eastAsia" w:hAnsi="宋体"/>
          <w:color w:val="auto"/>
          <w:sz w:val="24"/>
          <w:szCs w:val="24"/>
          <w:highlight w:val="none"/>
          <w:lang w:eastAsia="zh-CN"/>
        </w:rPr>
        <w:fldChar w:fldCharType="end"/>
      </w:r>
      <w:r>
        <w:rPr>
          <w:rFonts w:hint="eastAsia" w:hAnsi="宋体"/>
          <w:color w:val="auto"/>
          <w:sz w:val="24"/>
          <w:szCs w:val="24"/>
          <w:highlight w:val="none"/>
          <w:lang w:eastAsia="zh-CN"/>
        </w:rPr>
        <w:t>框架协议有效期内，因违法行为被禁止或限制参加政府采购活动的；</w:t>
      </w:r>
      <w:r>
        <w:rPr>
          <w:rFonts w:hAnsi="宋体"/>
          <w:color w:val="auto"/>
          <w:sz w:val="24"/>
          <w:szCs w:val="24"/>
          <w:highlight w:val="none"/>
          <w:lang w:eastAsia="zh-CN"/>
        </w:rPr>
        <w:t> </w:t>
      </w:r>
    </w:p>
    <w:p w14:paraId="416058C0">
      <w:pPr>
        <w:pStyle w:val="23"/>
        <w:spacing w:before="120" w:after="120" w:line="500" w:lineRule="exact"/>
        <w:ind w:firstLine="480"/>
        <w:rPr>
          <w:rFonts w:hint="eastAsia" w:hAnsi="宋体"/>
          <w:color w:val="auto"/>
          <w:sz w:val="24"/>
          <w:szCs w:val="24"/>
          <w:highlight w:val="none"/>
          <w:lang w:eastAsia="zh-CN"/>
        </w:rPr>
      </w:pPr>
      <w:r>
        <w:rPr>
          <w:rFonts w:hint="eastAsia" w:hAnsi="宋体"/>
          <w:color w:val="auto"/>
          <w:sz w:val="24"/>
          <w:szCs w:val="24"/>
          <w:highlight w:val="none"/>
          <w:lang w:eastAsia="zh-CN"/>
        </w:rPr>
        <w:fldChar w:fldCharType="begin"/>
      </w:r>
      <w:r>
        <w:rPr>
          <w:rFonts w:hint="eastAsia" w:hAnsi="宋体"/>
          <w:color w:val="auto"/>
          <w:sz w:val="24"/>
          <w:szCs w:val="24"/>
          <w:highlight w:val="none"/>
          <w:lang w:eastAsia="zh-CN"/>
        </w:rPr>
        <w:instrText xml:space="preserve"> = 6 \* GB3 </w:instrText>
      </w:r>
      <w:r>
        <w:rPr>
          <w:rFonts w:hAnsi="宋体"/>
          <w:color w:val="auto"/>
          <w:sz w:val="24"/>
          <w:szCs w:val="24"/>
          <w:highlight w:val="none"/>
          <w:lang w:eastAsia="zh-CN"/>
        </w:rPr>
        <w:fldChar w:fldCharType="separate"/>
      </w:r>
      <w:r>
        <w:rPr>
          <w:rFonts w:hint="eastAsia" w:hAnsi="宋体"/>
          <w:color w:val="auto"/>
          <w:sz w:val="24"/>
          <w:szCs w:val="24"/>
          <w:highlight w:val="none"/>
          <w:lang w:eastAsia="zh-CN"/>
        </w:rPr>
        <w:t>⑥</w:t>
      </w:r>
      <w:r>
        <w:rPr>
          <w:rFonts w:hint="eastAsia" w:hAnsi="宋体"/>
          <w:color w:val="auto"/>
          <w:sz w:val="24"/>
          <w:szCs w:val="24"/>
          <w:highlight w:val="none"/>
          <w:lang w:eastAsia="zh-CN"/>
        </w:rPr>
        <w:fldChar w:fldCharType="end"/>
      </w:r>
      <w:r>
        <w:rPr>
          <w:rFonts w:hint="eastAsia" w:hAnsi="宋体"/>
          <w:color w:val="auto"/>
          <w:sz w:val="24"/>
          <w:szCs w:val="24"/>
          <w:highlight w:val="none"/>
          <w:lang w:eastAsia="zh-CN"/>
        </w:rPr>
        <w:t>框架协议约定的其他情形及出现《无锡市残疾儿童基本康复训练服务管理细则（2024年版）》中附件6“违规清退清单”所列情形之一的。</w:t>
      </w:r>
      <w:r>
        <w:rPr>
          <w:rFonts w:hAnsi="宋体"/>
          <w:color w:val="auto"/>
          <w:sz w:val="24"/>
          <w:szCs w:val="24"/>
          <w:highlight w:val="none"/>
          <w:lang w:eastAsia="zh-CN"/>
        </w:rPr>
        <w:t> </w:t>
      </w:r>
    </w:p>
    <w:p w14:paraId="28399964">
      <w:pPr>
        <w:pStyle w:val="23"/>
        <w:spacing w:before="120" w:after="120" w:line="500" w:lineRule="exact"/>
        <w:ind w:firstLine="480"/>
        <w:rPr>
          <w:rFonts w:hint="eastAsia" w:hAnsi="宋体"/>
          <w:color w:val="auto"/>
          <w:sz w:val="24"/>
          <w:szCs w:val="24"/>
          <w:highlight w:val="none"/>
          <w:lang w:eastAsia="zh-CN"/>
        </w:rPr>
      </w:pPr>
      <w:r>
        <w:rPr>
          <w:rFonts w:hint="eastAsia" w:hAnsi="宋体"/>
          <w:color w:val="auto"/>
          <w:sz w:val="24"/>
          <w:szCs w:val="24"/>
          <w:highlight w:val="none"/>
          <w:lang w:eastAsia="zh-CN"/>
        </w:rPr>
        <w:t>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p>
    <w:p w14:paraId="016352CF">
      <w:pPr>
        <w:pStyle w:val="23"/>
        <w:spacing w:before="120" w:after="120" w:line="500" w:lineRule="exact"/>
        <w:ind w:firstLine="480"/>
        <w:rPr>
          <w:rFonts w:hAnsi="宋体"/>
          <w:color w:val="auto"/>
          <w:sz w:val="24"/>
          <w:szCs w:val="24"/>
          <w:highlight w:val="none"/>
          <w:lang w:eastAsia="zh-CN"/>
        </w:rPr>
      </w:pPr>
      <w:r>
        <w:rPr>
          <w:rFonts w:hint="eastAsia" w:hAnsi="宋体"/>
          <w:color w:val="auto"/>
          <w:sz w:val="24"/>
          <w:szCs w:val="24"/>
          <w:highlight w:val="none"/>
          <w:lang w:eastAsia="zh-CN"/>
        </w:rPr>
        <w:t>本期滨湖区残疾儿童基本康复训练服务定点机构开放式框架协议入围供应商可以按征集公告及相关规定要求，随时申请退出框架协议。采购代理机构在收到退出申请2个工作日内，发布入围供应商退出公告。公告期限为公告发布之日起1个工作日。各有关当事人对退出结果有异议，可以在本公告期限届满之日起七个工作日内，以书面形式提出明确的请求并提供必要的证明，逾期将不再受理。</w:t>
      </w:r>
      <w:r>
        <w:rPr>
          <w:rFonts w:hAnsi="宋体"/>
          <w:color w:val="auto"/>
          <w:sz w:val="24"/>
          <w:szCs w:val="24"/>
          <w:highlight w:val="none"/>
          <w:lang w:eastAsia="zh-CN"/>
        </w:rPr>
        <w:t xml:space="preserve"> </w:t>
      </w:r>
    </w:p>
    <w:bookmarkEnd w:id="225"/>
    <w:bookmarkEnd w:id="226"/>
    <w:p w14:paraId="046B51C2">
      <w:pPr>
        <w:pStyle w:val="23"/>
        <w:spacing w:before="120" w:after="120" w:line="500" w:lineRule="exact"/>
        <w:ind w:firstLine="480"/>
        <w:rPr>
          <w:rFonts w:hAnsi="宋体"/>
          <w:color w:val="auto"/>
          <w:sz w:val="24"/>
          <w:szCs w:val="24"/>
          <w:highlight w:val="none"/>
          <w:lang w:eastAsia="zh-CN"/>
        </w:rPr>
      </w:pPr>
      <w:r>
        <w:rPr>
          <w:rFonts w:hint="eastAsia" w:hAnsi="宋体"/>
          <w:color w:val="auto"/>
          <w:sz w:val="24"/>
          <w:szCs w:val="24"/>
          <w:highlight w:val="none"/>
          <w:lang w:eastAsia="zh-CN"/>
        </w:rPr>
        <w:t>7.2 征集公告发布后至框架协议期满前，本项目不设开放期</w:t>
      </w:r>
      <w:r>
        <w:rPr>
          <w:rFonts w:hAnsi="宋体"/>
          <w:color w:val="auto"/>
          <w:sz w:val="24"/>
          <w:szCs w:val="24"/>
          <w:highlight w:val="none"/>
          <w:lang w:eastAsia="zh-CN"/>
        </w:rPr>
        <w:t>。</w:t>
      </w:r>
    </w:p>
    <w:p w14:paraId="1D0BB235">
      <w:pPr>
        <w:pStyle w:val="23"/>
        <w:spacing w:before="120" w:after="120" w:line="500" w:lineRule="exact"/>
        <w:ind w:firstLine="482"/>
        <w:rPr>
          <w:rFonts w:hAnsi="宋体" w:cs="宋体"/>
          <w:b/>
          <w:color w:val="auto"/>
          <w:sz w:val="24"/>
          <w:szCs w:val="24"/>
          <w:highlight w:val="none"/>
          <w:lang w:eastAsia="zh-CN"/>
        </w:rPr>
      </w:pPr>
      <w:r>
        <w:rPr>
          <w:rFonts w:hint="eastAsia" w:hAnsi="宋体" w:cs="宋体"/>
          <w:b/>
          <w:color w:val="auto"/>
          <w:sz w:val="24"/>
          <w:szCs w:val="24"/>
          <w:highlight w:val="none"/>
          <w:lang w:eastAsia="zh-CN"/>
        </w:rPr>
        <w:t>八、甲乙双方的权利和义务</w:t>
      </w:r>
    </w:p>
    <w:p w14:paraId="189518ED">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8.1 甲方的权利</w:t>
      </w:r>
    </w:p>
    <w:p w14:paraId="1E198F04">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（1）确定框架协议采购需求。</w:t>
      </w:r>
    </w:p>
    <w:p w14:paraId="146C2D85">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（2）确定最高限制单价。</w:t>
      </w:r>
    </w:p>
    <w:p w14:paraId="3CC75E42">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（3）确定框架协议有效期。</w:t>
      </w:r>
    </w:p>
    <w:p w14:paraId="5CDE7399">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（4）制定统一的采购合同文本供采购人、供应商使用，并明确要求采购人、供应商不得擅自改变框架协议约定的合同实质性条款。</w:t>
      </w:r>
    </w:p>
    <w:p w14:paraId="54790B8B">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（5）乙方存在《政府采购框架协议采购方式管理暂行办法》第十九条第一款规定的情形时，取消入围供应商的入围资格，或解除与其签订的框架协议。</w:t>
      </w:r>
    </w:p>
    <w:p w14:paraId="772DAA10">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（6）在框架协议期内，随时对乙方履约情况进行检查。 </w:t>
      </w:r>
    </w:p>
    <w:p w14:paraId="1BD44E38">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8.2 甲方的义务</w:t>
      </w:r>
    </w:p>
    <w:p w14:paraId="36CF0050">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（1）为第二阶段合同授予提供工作便利。</w:t>
      </w:r>
    </w:p>
    <w:p w14:paraId="51E4359A">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（2）对第二阶段最高限价和需求标准执行情况进行管理。</w:t>
      </w:r>
    </w:p>
    <w:p w14:paraId="3BAFF8C0">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（3）对第二阶段确定入围供应商情况进行管理。</w:t>
      </w:r>
    </w:p>
    <w:p w14:paraId="2B4389C0">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（4）建立用户反馈和评价机制，接受采购人对入围供应商履行框架协议和采购合同情况的反馈与评价，并将用户反馈和评价情况向采购人公开，作为第二阶段直接选定入围供应商的参考。</w:t>
      </w:r>
    </w:p>
    <w:p w14:paraId="6F23BD89">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（5）公开开放式框架协议的第二阶段成交结果。</w:t>
      </w:r>
    </w:p>
    <w:p w14:paraId="108A36C9">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（6）办理入围供应商清退和补充相关事宜。</w:t>
      </w:r>
    </w:p>
    <w:p w14:paraId="2CF62DCA">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（7）建立真实完整的框架协议采购档案，妥善保存每项采购活动的采购文件资料。</w:t>
      </w:r>
    </w:p>
    <w:p w14:paraId="0D92710C">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8.3 乙方的权利</w:t>
      </w:r>
    </w:p>
    <w:p w14:paraId="3F26918B">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（1）乙方具有为残疾人提供服务的资格。</w:t>
      </w:r>
    </w:p>
    <w:p w14:paraId="02B2CD7A">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（2）乙方有权拒绝采购人提出的以本次框架协议采购名义购买非入围服务或满足采购人超出响应承诺以外的其他要求。 </w:t>
      </w:r>
    </w:p>
    <w:p w14:paraId="103AB1B3">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8.4 乙方的义务</w:t>
      </w:r>
    </w:p>
    <w:p w14:paraId="6D5547E5">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（1）严格执行国家法律法规，严格按照响应文件承诺的价格和服务履约，遵守本合同条款。 </w:t>
      </w:r>
    </w:p>
    <w:p w14:paraId="00866502">
      <w:pPr>
        <w:pStyle w:val="16"/>
        <w:spacing w:line="500" w:lineRule="exact"/>
        <w:ind w:firstLine="480"/>
        <w:jc w:val="both"/>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（2）随时接受并配合甲方的监督检查。 </w:t>
      </w:r>
    </w:p>
    <w:p w14:paraId="351A3749">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 xml:space="preserve">（3）在框架协议有效期内，按照不高于协议价格的价格，向采购人提供相关服务。 </w:t>
      </w:r>
    </w:p>
    <w:p w14:paraId="7D278BC3">
      <w:pPr>
        <w:spacing w:after="5" w:line="360" w:lineRule="auto"/>
        <w:ind w:firstLine="482"/>
        <w:rPr>
          <w:rFonts w:ascii="宋体" w:hAnsi="宋体"/>
          <w:b/>
          <w:color w:val="auto"/>
          <w:sz w:val="24"/>
          <w:szCs w:val="24"/>
          <w:highlight w:val="none"/>
        </w:rPr>
      </w:pPr>
      <w:r>
        <w:rPr>
          <w:rFonts w:hint="eastAsia" w:ascii="宋体" w:hAnsi="宋体" w:cs="宋体"/>
          <w:b/>
          <w:color w:val="auto"/>
          <w:sz w:val="24"/>
          <w:szCs w:val="24"/>
          <w:highlight w:val="none"/>
        </w:rPr>
        <w:t>九、</w:t>
      </w:r>
      <w:r>
        <w:rPr>
          <w:rFonts w:hint="eastAsia" w:ascii="宋体" w:hAnsi="宋体"/>
          <w:b/>
          <w:color w:val="auto"/>
          <w:sz w:val="24"/>
          <w:szCs w:val="24"/>
          <w:highlight w:val="none"/>
        </w:rPr>
        <w:t>履约管理要求</w:t>
      </w:r>
    </w:p>
    <w:p w14:paraId="3AB62BA3">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9.1管理形式</w:t>
      </w:r>
    </w:p>
    <w:p w14:paraId="72DE2AF7">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征集人通过系统反馈的采购人评价、供应商违规预警提示信息、配合监管部门进行满意度调查、随机抽查等方式，对框架协议入围供应商开展履约及售后服务进行监督。检查和处理结果将在框架协议系统公布。</w:t>
      </w:r>
    </w:p>
    <w:p w14:paraId="6C4DD7CC">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9.2管理措施</w:t>
      </w:r>
    </w:p>
    <w:p w14:paraId="12BBDD38">
      <w:pPr>
        <w:pStyle w:val="23"/>
        <w:spacing w:line="500" w:lineRule="exact"/>
        <w:ind w:firstLine="480"/>
        <w:rPr>
          <w:rFonts w:hAnsi="宋体" w:cs="宋体"/>
          <w:color w:val="auto"/>
          <w:sz w:val="24"/>
          <w:szCs w:val="24"/>
          <w:highlight w:val="none"/>
          <w:lang w:eastAsia="zh-CN"/>
        </w:rPr>
      </w:pPr>
      <w:bookmarkStart w:id="227" w:name="OLE_LINK91"/>
      <w:bookmarkStart w:id="228" w:name="OLE_LINK90"/>
      <w:r>
        <w:rPr>
          <w:rFonts w:hint="eastAsia" w:hAnsi="宋体" w:cs="宋体"/>
          <w:color w:val="auto"/>
          <w:sz w:val="24"/>
          <w:szCs w:val="24"/>
          <w:highlight w:val="none"/>
          <w:lang w:eastAsia="zh-CN"/>
        </w:rPr>
        <w:t>实行政府采购供应商诚信管理制度。对供应商失信行为、不良行为等诚信信息，在本次框架协议采购实施工作中予以记录并按规定进行处理</w:t>
      </w:r>
      <w:bookmarkEnd w:id="227"/>
      <w:bookmarkEnd w:id="228"/>
      <w:r>
        <w:rPr>
          <w:rFonts w:hint="eastAsia" w:hAnsi="宋体" w:cs="宋体"/>
          <w:color w:val="auto"/>
          <w:sz w:val="24"/>
          <w:szCs w:val="24"/>
          <w:highlight w:val="none"/>
          <w:lang w:eastAsia="zh-CN"/>
        </w:rPr>
        <w:t>。</w:t>
      </w:r>
    </w:p>
    <w:p w14:paraId="4C225A00">
      <w:pPr>
        <w:pStyle w:val="23"/>
        <w:spacing w:line="500" w:lineRule="exact"/>
        <w:ind w:firstLine="480"/>
        <w:rPr>
          <w:rFonts w:hAnsi="宋体" w:cs="宋体"/>
          <w:color w:val="auto"/>
          <w:sz w:val="24"/>
          <w:szCs w:val="24"/>
          <w:highlight w:val="none"/>
          <w:lang w:eastAsia="zh-CN"/>
        </w:rPr>
      </w:pPr>
      <w:bookmarkStart w:id="229" w:name="OLE_LINK95"/>
      <w:r>
        <w:rPr>
          <w:rFonts w:hint="eastAsia" w:hAnsi="宋体" w:cs="宋体"/>
          <w:color w:val="auto"/>
          <w:sz w:val="24"/>
          <w:szCs w:val="24"/>
          <w:highlight w:val="none"/>
          <w:lang w:eastAsia="zh-CN"/>
        </w:rPr>
        <w:t>在项目评审结束至协议履约期间，采购代理机构及征集人有权要求供应商出具响应文件中的相关证明材料原件，予以确认其真实性和有效性</w:t>
      </w:r>
      <w:bookmarkEnd w:id="229"/>
      <w:r>
        <w:rPr>
          <w:rFonts w:hint="eastAsia" w:hAnsi="宋体" w:cs="宋体"/>
          <w:color w:val="auto"/>
          <w:sz w:val="24"/>
          <w:szCs w:val="24"/>
          <w:highlight w:val="none"/>
          <w:lang w:eastAsia="zh-CN"/>
        </w:rPr>
        <w:t>。</w:t>
      </w:r>
    </w:p>
    <w:p w14:paraId="0EBA9178">
      <w:pPr>
        <w:pStyle w:val="23"/>
        <w:spacing w:line="500" w:lineRule="exact"/>
        <w:ind w:firstLine="480"/>
        <w:rPr>
          <w:rFonts w:hAnsi="宋体" w:cs="宋体"/>
          <w:color w:val="auto"/>
          <w:sz w:val="24"/>
          <w:szCs w:val="24"/>
          <w:highlight w:val="none"/>
          <w:lang w:eastAsia="zh-CN"/>
        </w:rPr>
      </w:pPr>
      <w:bookmarkStart w:id="230" w:name="OLE_LINK96"/>
      <w:bookmarkStart w:id="231" w:name="OLE_LINK97"/>
      <w:r>
        <w:rPr>
          <w:rFonts w:hint="eastAsia" w:hAnsi="宋体" w:cs="宋体"/>
          <w:color w:val="auto"/>
          <w:sz w:val="24"/>
          <w:szCs w:val="24"/>
          <w:highlight w:val="none"/>
          <w:lang w:eastAsia="zh-CN"/>
        </w:rPr>
        <w:t>入围供应商应全面履行本项目实施过程中的相关安全管理职责，因入围供应商未尽到管理职责发生安全事故的，由入围供应商承担相应的法律责任和经济赔偿责任</w:t>
      </w:r>
      <w:bookmarkEnd w:id="230"/>
      <w:bookmarkEnd w:id="231"/>
      <w:r>
        <w:rPr>
          <w:rFonts w:hint="eastAsia" w:hAnsi="宋体" w:cs="宋体"/>
          <w:color w:val="auto"/>
          <w:sz w:val="24"/>
          <w:szCs w:val="24"/>
          <w:highlight w:val="none"/>
          <w:lang w:eastAsia="zh-CN"/>
        </w:rPr>
        <w:t>。</w:t>
      </w:r>
    </w:p>
    <w:p w14:paraId="56B4E431">
      <w:pPr>
        <w:pStyle w:val="23"/>
        <w:spacing w:line="500" w:lineRule="exact"/>
        <w:ind w:firstLine="480"/>
        <w:rPr>
          <w:rFonts w:hAnsi="宋体" w:cs="宋体"/>
          <w:color w:val="auto"/>
          <w:sz w:val="24"/>
          <w:szCs w:val="24"/>
          <w:highlight w:val="none"/>
          <w:lang w:eastAsia="zh-CN"/>
        </w:rPr>
      </w:pPr>
      <w:bookmarkStart w:id="232" w:name="OLE_LINK99"/>
      <w:bookmarkStart w:id="233" w:name="OLE_LINK98"/>
      <w:r>
        <w:rPr>
          <w:rFonts w:hint="eastAsia" w:hAnsi="宋体" w:cs="宋体"/>
          <w:color w:val="auto"/>
          <w:sz w:val="24"/>
          <w:szCs w:val="24"/>
          <w:highlight w:val="none"/>
          <w:lang w:eastAsia="zh-CN"/>
        </w:rPr>
        <w:t>入围供应商应对项目资金进行规范的财务管理和会计核算，加强自身监督，确保资金规范管理和使用，按要求向征集人提供资金的使用情况、项目执行情况、成果总结等材料，并配合征集人及征集人组织的监督检查或绩效评价，无条件接受和配合征集人或征集人委托的会计师事务所进行的与本协议相关的审计。</w:t>
      </w:r>
      <w:bookmarkEnd w:id="232"/>
      <w:bookmarkEnd w:id="233"/>
    </w:p>
    <w:p w14:paraId="3AEC8EC6">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9.3第二阶段合同解决争议的方法</w:t>
      </w:r>
    </w:p>
    <w:p w14:paraId="35296769">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双方在执行合同中所发生的一切争议，应通过协商解决。如协商不成，可向采购人所在地人民法院起诉。</w:t>
      </w:r>
    </w:p>
    <w:p w14:paraId="3D590BAE">
      <w:pPr>
        <w:widowControl/>
        <w:spacing w:line="50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十、违约处理</w:t>
      </w:r>
    </w:p>
    <w:p w14:paraId="2F2EFC8E">
      <w:pPr>
        <w:widowControl/>
        <w:spacing w:line="500" w:lineRule="exact"/>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本项目主要依据“有效投诉”处理机制追究入围供应商的违约责任。</w:t>
      </w:r>
    </w:p>
    <w:p w14:paraId="44907716">
      <w:pPr>
        <w:widowControl/>
        <w:spacing w:line="500" w:lineRule="exact"/>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1.“有效投诉”的认定：以残疾人向</w:t>
      </w:r>
      <w:r>
        <w:rPr>
          <w:rFonts w:hint="eastAsia" w:ascii="宋体" w:hAnsi="宋体" w:cs="宋体"/>
          <w:color w:val="auto"/>
          <w:sz w:val="24"/>
          <w:szCs w:val="24"/>
          <w:highlight w:val="none"/>
        </w:rPr>
        <w:t>采购人提出</w:t>
      </w:r>
      <w:r>
        <w:rPr>
          <w:rFonts w:hint="eastAsia" w:ascii="宋体" w:hAnsi="宋体" w:cs="宋体"/>
          <w:color w:val="auto"/>
          <w:sz w:val="24"/>
          <w:szCs w:val="24"/>
          <w:highlight w:val="none"/>
          <w:lang w:val="zh-CN"/>
        </w:rPr>
        <w:t>书面投诉，经查实为准。</w:t>
      </w:r>
    </w:p>
    <w:p w14:paraId="6309ECD3">
      <w:pPr>
        <w:widowControl/>
        <w:spacing w:line="500" w:lineRule="exact"/>
        <w:ind w:firstLine="480"/>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违约情形包括但不限于：入围供应商因不正当理由拒绝和放弃提供服务的；违反廉洁纪律或保密纪律的。</w:t>
      </w:r>
    </w:p>
    <w:p w14:paraId="43FC1477">
      <w:pPr>
        <w:widowControl/>
        <w:spacing w:line="500" w:lineRule="exact"/>
        <w:ind w:firstLine="480"/>
        <w:rPr>
          <w:rFonts w:ascii="宋体" w:hAnsi="宋体" w:cs="宋体"/>
          <w:color w:val="auto"/>
          <w:sz w:val="24"/>
          <w:szCs w:val="24"/>
          <w:highlight w:val="none"/>
        </w:rPr>
      </w:pPr>
      <w:bookmarkStart w:id="234" w:name="OLE_LINK47"/>
      <w:bookmarkStart w:id="235" w:name="OLE_LINK48"/>
      <w:r>
        <w:rPr>
          <w:rFonts w:hint="eastAsia" w:ascii="宋体" w:hAnsi="宋体" w:cs="宋体"/>
          <w:color w:val="auto"/>
          <w:sz w:val="24"/>
          <w:szCs w:val="24"/>
          <w:highlight w:val="none"/>
        </w:rPr>
        <w:t>3.</w:t>
      </w:r>
      <w:bookmarkEnd w:id="234"/>
      <w:bookmarkEnd w:id="235"/>
      <w:r>
        <w:rPr>
          <w:rFonts w:hint="eastAsia" w:ascii="宋体" w:hAnsi="宋体" w:cs="宋体"/>
          <w:color w:val="auto"/>
          <w:sz w:val="24"/>
          <w:szCs w:val="24"/>
          <w:highlight w:val="none"/>
        </w:rPr>
        <w:t>本条款对违约责任的追究不影响、不替代无锡市财政局作为政府采购监管部门依据《中华人民共和国政府采购法》进行行政处罚。</w:t>
      </w:r>
    </w:p>
    <w:p w14:paraId="32EBB215">
      <w:pPr>
        <w:widowControl/>
        <w:spacing w:line="500" w:lineRule="exact"/>
        <w:ind w:firstLine="482"/>
        <w:rPr>
          <w:rFonts w:ascii="宋体" w:hAnsi="宋体" w:cs="宋体"/>
          <w:b/>
          <w:color w:val="auto"/>
          <w:sz w:val="24"/>
          <w:szCs w:val="24"/>
          <w:highlight w:val="none"/>
        </w:rPr>
      </w:pPr>
      <w:r>
        <w:rPr>
          <w:rFonts w:hint="eastAsia" w:ascii="宋体" w:hAnsi="宋体" w:cs="宋体"/>
          <w:b/>
          <w:color w:val="auto"/>
          <w:sz w:val="24"/>
          <w:szCs w:val="24"/>
          <w:highlight w:val="none"/>
        </w:rPr>
        <w:t>十一、税费</w:t>
      </w:r>
    </w:p>
    <w:p w14:paraId="7A755F34">
      <w:pPr>
        <w:widowControl/>
        <w:spacing w:line="500" w:lineRule="exact"/>
        <w:ind w:firstLine="480"/>
        <w:rPr>
          <w:rFonts w:hAnsi="宋体" w:cs="宋体"/>
          <w:color w:val="auto"/>
          <w:sz w:val="24"/>
          <w:szCs w:val="24"/>
          <w:highlight w:val="none"/>
        </w:rPr>
      </w:pPr>
      <w:r>
        <w:rPr>
          <w:rFonts w:hint="eastAsia" w:hAnsi="宋体" w:cs="宋体"/>
          <w:color w:val="auto"/>
          <w:sz w:val="24"/>
          <w:szCs w:val="24"/>
          <w:highlight w:val="none"/>
        </w:rPr>
        <w:t>本框架协议执行中相关的一切税费均由乙方负担。</w:t>
      </w:r>
    </w:p>
    <w:p w14:paraId="750D3E23">
      <w:pPr>
        <w:widowControl/>
        <w:spacing w:line="500" w:lineRule="exact"/>
        <w:ind w:firstLine="482"/>
        <w:rPr>
          <w:rFonts w:hAnsi="宋体" w:cs="宋体"/>
          <w:b/>
          <w:bCs/>
          <w:color w:val="auto"/>
          <w:sz w:val="24"/>
          <w:szCs w:val="24"/>
          <w:highlight w:val="none"/>
        </w:rPr>
      </w:pPr>
      <w:r>
        <w:rPr>
          <w:rFonts w:hint="eastAsia" w:hAnsi="宋体" w:cs="宋体"/>
          <w:b/>
          <w:bCs/>
          <w:color w:val="auto"/>
          <w:sz w:val="24"/>
          <w:szCs w:val="24"/>
          <w:highlight w:val="none"/>
        </w:rPr>
        <w:t>十二、争议解决的办法</w:t>
      </w:r>
    </w:p>
    <w:p w14:paraId="12F9ECA4">
      <w:pPr>
        <w:widowControl/>
        <w:spacing w:line="500" w:lineRule="exact"/>
        <w:ind w:firstLine="480"/>
        <w:rPr>
          <w:rFonts w:hAnsi="宋体" w:cs="宋体"/>
          <w:color w:val="auto"/>
          <w:sz w:val="24"/>
          <w:szCs w:val="24"/>
          <w:highlight w:val="none"/>
        </w:rPr>
      </w:pPr>
      <w:r>
        <w:rPr>
          <w:rFonts w:hint="eastAsia" w:hAnsi="宋体" w:cs="宋体"/>
          <w:color w:val="auto"/>
          <w:sz w:val="24"/>
          <w:szCs w:val="24"/>
          <w:highlight w:val="none"/>
        </w:rPr>
        <w:t>因本框架协议的签订、履行而发生的争议，甲乙双方应通过友好协商解决，如协商不成由甲方住所地人民法院管辖。</w:t>
      </w:r>
    </w:p>
    <w:p w14:paraId="4798E7D3">
      <w:pPr>
        <w:widowControl/>
        <w:spacing w:line="500" w:lineRule="exact"/>
        <w:ind w:firstLine="482"/>
        <w:rPr>
          <w:rFonts w:hAnsi="宋体" w:cs="宋体"/>
          <w:b/>
          <w:bCs/>
          <w:color w:val="auto"/>
          <w:sz w:val="24"/>
          <w:szCs w:val="24"/>
          <w:highlight w:val="none"/>
        </w:rPr>
      </w:pPr>
      <w:r>
        <w:rPr>
          <w:rFonts w:hint="eastAsia" w:hAnsi="宋体" w:cs="宋体"/>
          <w:b/>
          <w:bCs/>
          <w:color w:val="auto"/>
          <w:sz w:val="24"/>
          <w:szCs w:val="24"/>
          <w:highlight w:val="none"/>
        </w:rPr>
        <w:t>十三、框架协议文本的生效及其它</w:t>
      </w:r>
    </w:p>
    <w:p w14:paraId="0E290E8F">
      <w:pPr>
        <w:widowControl/>
        <w:spacing w:line="500" w:lineRule="exact"/>
        <w:ind w:firstLine="480"/>
        <w:rPr>
          <w:rFonts w:hAnsi="宋体" w:cs="宋体"/>
          <w:color w:val="auto"/>
          <w:sz w:val="24"/>
          <w:szCs w:val="24"/>
          <w:highlight w:val="none"/>
        </w:rPr>
      </w:pPr>
      <w:r>
        <w:rPr>
          <w:rFonts w:hint="eastAsia" w:ascii="宋体" w:hAnsi="宋体" w:cs="宋体"/>
          <w:color w:val="auto"/>
          <w:sz w:val="24"/>
          <w:szCs w:val="24"/>
          <w:highlight w:val="none"/>
        </w:rPr>
        <w:t>13.1</w:t>
      </w:r>
      <w:r>
        <w:rPr>
          <w:rFonts w:hint="eastAsia" w:hAnsi="宋体" w:cs="宋体"/>
          <w:color w:val="auto"/>
          <w:sz w:val="24"/>
          <w:szCs w:val="24"/>
          <w:highlight w:val="none"/>
        </w:rPr>
        <w:t xml:space="preserve"> 本框架协议文本经甲乙双方法定代表人或授权委托代表人签字并加盖单位公章后生效。</w:t>
      </w:r>
    </w:p>
    <w:p w14:paraId="652C9E2F">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13.2 本框架协议文本未尽事宜，遵照《中华人民共和国民法典》《中华人民共和国政府采购法》有关条文执行。</w:t>
      </w:r>
    </w:p>
    <w:p w14:paraId="092AA8A3">
      <w:pPr>
        <w:pStyle w:val="23"/>
        <w:spacing w:line="500" w:lineRule="exact"/>
        <w:ind w:firstLine="480"/>
        <w:rPr>
          <w:rFonts w:hAnsi="宋体" w:cs="宋体"/>
          <w:color w:val="auto"/>
          <w:sz w:val="24"/>
          <w:szCs w:val="24"/>
          <w:highlight w:val="none"/>
          <w:lang w:eastAsia="zh-CN"/>
        </w:rPr>
      </w:pPr>
      <w:r>
        <w:rPr>
          <w:rFonts w:hint="eastAsia" w:hAnsi="宋体" w:cs="宋体"/>
          <w:color w:val="auto"/>
          <w:sz w:val="24"/>
          <w:szCs w:val="24"/>
          <w:highlight w:val="none"/>
          <w:lang w:eastAsia="zh-CN"/>
        </w:rPr>
        <w:t>13.3 本框架协议文本正本一式两份，具有同等法律效力，甲方、乙方各执一份。</w:t>
      </w:r>
    </w:p>
    <w:p w14:paraId="5E3EAB57">
      <w:pPr>
        <w:pStyle w:val="269"/>
        <w:widowControl/>
        <w:spacing w:before="120" w:after="120" w:line="500" w:lineRule="exact"/>
        <w:ind w:left="450" w:hanging="240"/>
        <w:jc w:val="left"/>
        <w:rPr>
          <w:rFonts w:hAnsi="宋体" w:cs="宋体"/>
          <w:color w:val="auto"/>
          <w:sz w:val="24"/>
          <w:szCs w:val="24"/>
          <w:highlight w:val="none"/>
        </w:rPr>
      </w:pPr>
      <w:r>
        <w:rPr>
          <w:rFonts w:hint="eastAsia" w:hAnsi="宋体" w:cs="宋体"/>
          <w:color w:val="auto"/>
          <w:sz w:val="24"/>
          <w:szCs w:val="24"/>
          <w:highlight w:val="none"/>
        </w:rPr>
        <w:t>甲方：                                   乙方：</w:t>
      </w:r>
    </w:p>
    <w:p w14:paraId="6E60F3B7">
      <w:pPr>
        <w:pStyle w:val="269"/>
        <w:widowControl/>
        <w:spacing w:before="120" w:after="120" w:line="500" w:lineRule="exact"/>
        <w:jc w:val="left"/>
        <w:rPr>
          <w:rFonts w:hAnsi="宋体" w:cs="宋体"/>
          <w:color w:val="auto"/>
          <w:sz w:val="24"/>
          <w:szCs w:val="24"/>
          <w:highlight w:val="none"/>
        </w:rPr>
      </w:pPr>
      <w:r>
        <w:rPr>
          <w:rFonts w:hint="eastAsia" w:hAnsi="宋体" w:cs="宋体"/>
          <w:color w:val="auto"/>
          <w:sz w:val="24"/>
          <w:szCs w:val="24"/>
          <w:highlight w:val="none"/>
        </w:rPr>
        <w:t xml:space="preserve">  地址：                                   地址：</w:t>
      </w:r>
    </w:p>
    <w:p w14:paraId="778B767A">
      <w:pPr>
        <w:pStyle w:val="269"/>
        <w:widowControl/>
        <w:spacing w:before="120" w:after="120" w:line="500" w:lineRule="exact"/>
        <w:jc w:val="left"/>
        <w:rPr>
          <w:rFonts w:hAnsi="宋体" w:cs="宋体"/>
          <w:color w:val="auto"/>
          <w:sz w:val="24"/>
          <w:szCs w:val="24"/>
          <w:highlight w:val="none"/>
        </w:rPr>
      </w:pPr>
      <w:r>
        <w:rPr>
          <w:rFonts w:hint="eastAsia" w:hAnsi="宋体" w:cs="宋体"/>
          <w:color w:val="auto"/>
          <w:sz w:val="24"/>
          <w:szCs w:val="24"/>
          <w:highlight w:val="none"/>
        </w:rPr>
        <w:t xml:space="preserve">  法定代表人或授权代表：                   法定代表人或授权代表：</w:t>
      </w:r>
    </w:p>
    <w:p w14:paraId="2CA94895">
      <w:pPr>
        <w:pStyle w:val="269"/>
        <w:widowControl/>
        <w:spacing w:before="120" w:after="120" w:line="500" w:lineRule="exact"/>
        <w:ind w:firstLine="240"/>
        <w:jc w:val="left"/>
        <w:rPr>
          <w:rFonts w:hAnsi="宋体" w:cs="宋体"/>
          <w:color w:val="auto"/>
          <w:sz w:val="24"/>
          <w:szCs w:val="24"/>
          <w:highlight w:val="none"/>
        </w:rPr>
      </w:pPr>
      <w:r>
        <w:rPr>
          <w:rFonts w:hint="eastAsia" w:hAnsi="宋体" w:cs="宋体"/>
          <w:color w:val="auto"/>
          <w:sz w:val="24"/>
          <w:szCs w:val="24"/>
          <w:highlight w:val="none"/>
        </w:rPr>
        <w:t>联系电话：                               联系电话：</w:t>
      </w:r>
    </w:p>
    <w:p w14:paraId="635CC79A">
      <w:pPr>
        <w:pStyle w:val="269"/>
        <w:widowControl/>
        <w:spacing w:before="120" w:after="120" w:line="500" w:lineRule="exact"/>
        <w:jc w:val="center"/>
        <w:rPr>
          <w:rFonts w:hAnsi="宋体" w:cs="宋体"/>
          <w:color w:val="auto"/>
          <w:sz w:val="24"/>
          <w:szCs w:val="24"/>
          <w:highlight w:val="none"/>
        </w:rPr>
      </w:pPr>
      <w:r>
        <w:rPr>
          <w:rFonts w:hint="eastAsia" w:hAnsi="宋体" w:cs="宋体"/>
          <w:color w:val="auto"/>
          <w:sz w:val="24"/>
          <w:szCs w:val="24"/>
          <w:highlight w:val="none"/>
        </w:rPr>
        <w:t xml:space="preserve">                    </w:t>
      </w:r>
    </w:p>
    <w:p w14:paraId="03B05FEF">
      <w:pPr>
        <w:pStyle w:val="269"/>
        <w:widowControl/>
        <w:spacing w:before="120" w:after="120" w:line="500" w:lineRule="exact"/>
        <w:jc w:val="center"/>
        <w:rPr>
          <w:rFonts w:hAnsi="宋体"/>
          <w:bCs/>
          <w:color w:val="auto"/>
          <w:sz w:val="24"/>
          <w:highlight w:val="none"/>
        </w:rPr>
      </w:pPr>
      <w:r>
        <w:rPr>
          <w:rFonts w:hint="eastAsia" w:hAnsi="宋体" w:cs="宋体"/>
          <w:color w:val="auto"/>
          <w:sz w:val="24"/>
          <w:szCs w:val="24"/>
          <w:highlight w:val="none"/>
        </w:rPr>
        <w:t xml:space="preserve">                              签订日期：      年    月   日</w:t>
      </w:r>
    </w:p>
    <w:p w14:paraId="0AA37A95">
      <w:pPr>
        <w:spacing w:line="312" w:lineRule="auto"/>
        <w:jc w:val="center"/>
        <w:rPr>
          <w:rFonts w:ascii="宋体" w:hAnsi="宋体"/>
          <w:b/>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第二部分  采购合同文本</w:t>
      </w:r>
    </w:p>
    <w:p w14:paraId="49596E07">
      <w:pPr>
        <w:spacing w:line="312" w:lineRule="auto"/>
        <w:jc w:val="center"/>
        <w:rPr>
          <w:rFonts w:ascii="宋体" w:hAnsi="宋体" w:cs="宋体"/>
          <w:color w:val="auto"/>
          <w:sz w:val="24"/>
          <w:szCs w:val="24"/>
          <w:highlight w:val="none"/>
        </w:rPr>
      </w:pPr>
      <w:bookmarkStart w:id="236" w:name="_Toc23940"/>
      <w:r>
        <w:rPr>
          <w:rFonts w:hint="eastAsia" w:ascii="宋体" w:hAnsi="宋体" w:cs="宋体"/>
          <w:color w:val="auto"/>
          <w:sz w:val="24"/>
          <w:szCs w:val="24"/>
          <w:highlight w:val="none"/>
        </w:rPr>
        <w:t>无锡市残疾儿童基本康复训练定点机构服务协议(样本)</w:t>
      </w:r>
    </w:p>
    <w:p w14:paraId="41CFFDF3">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甲方:(盖章)</w:t>
      </w:r>
    </w:p>
    <w:p w14:paraId="35C6447C">
      <w:pPr>
        <w:spacing w:line="312" w:lineRule="auto"/>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乙方:监护人姓名身份证号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(受助儿童姓名身份证号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70E501E3">
      <w:pPr>
        <w:spacing w:line="312" w:lineRule="auto"/>
        <w:ind w:firstLine="480" w:firstLineChars="200"/>
        <w:jc w:val="left"/>
        <w:rPr>
          <w:rFonts w:ascii="宋体" w:hAnsi="宋体" w:cs="宋体"/>
          <w:color w:val="auto"/>
          <w:sz w:val="24"/>
          <w:szCs w:val="24"/>
          <w:highlight w:val="none"/>
        </w:rPr>
      </w:pPr>
      <w:r>
        <w:rPr>
          <w:rFonts w:hint="eastAsia" w:ascii="宋体" w:hAnsi="宋体" w:cs="宋体"/>
          <w:color w:val="auto"/>
          <w:sz w:val="24"/>
          <w:szCs w:val="24"/>
          <w:highlight w:val="none"/>
        </w:rPr>
        <w:t>残疾儿童基本康复训练是无锡市残疾儿童康复救助的重要项目之一。为落实政策明确责任，经甲乙双方充分协商，特订立以下协议:</w:t>
      </w:r>
    </w:p>
    <w:p w14:paraId="54AEFD0E">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受助儿童基本康复训练救助类别为:</w:t>
      </w:r>
    </w:p>
    <w:p w14:paraId="2C592DCF">
      <w:pPr>
        <w:spacing w:line="312" w:lineRule="auto"/>
        <w:jc w:val="left"/>
        <w:rPr>
          <w:rFonts w:ascii="宋体" w:hAnsi="宋体" w:cs="宋体"/>
          <w:color w:val="auto"/>
          <w:sz w:val="24"/>
          <w:szCs w:val="24"/>
          <w:highlight w:val="none"/>
        </w:rPr>
      </w:pP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视力    </w:t>
      </w: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听力(言语)  </w:t>
      </w: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肢体(脑瘫) </w:t>
      </w: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智力  </w:t>
      </w:r>
      <w:r>
        <w:rPr>
          <w:rFonts w:hint="eastAsia" w:ascii="宋体" w:hAnsi="宋体"/>
          <w:color w:val="auto"/>
          <w:sz w:val="24"/>
          <w:highlight w:val="none"/>
        </w:rPr>
        <w:t xml:space="preserve">□ </w:t>
      </w:r>
      <w:r>
        <w:rPr>
          <w:rFonts w:hint="eastAsia" w:ascii="宋体" w:hAnsi="宋体" w:cs="宋体"/>
          <w:color w:val="auto"/>
          <w:sz w:val="24"/>
          <w:szCs w:val="24"/>
          <w:highlight w:val="none"/>
        </w:rPr>
        <w:t xml:space="preserve">孤独症 </w:t>
      </w:r>
      <w:r>
        <w:rPr>
          <w:rFonts w:hint="eastAsia" w:ascii="宋体" w:hAnsi="宋体"/>
          <w:color w:val="auto"/>
          <w:sz w:val="24"/>
          <w:highlight w:val="none"/>
        </w:rPr>
        <w:t>□</w:t>
      </w:r>
      <w:r>
        <w:rPr>
          <w:rFonts w:hint="eastAsia" w:ascii="宋体" w:hAnsi="宋体" w:cs="宋体"/>
          <w:color w:val="auto"/>
          <w:sz w:val="24"/>
          <w:szCs w:val="24"/>
          <w:highlight w:val="none"/>
        </w:rPr>
        <w:t>多重(救助类别为“多重”的须勾选两个或两个以上选项)</w:t>
      </w:r>
    </w:p>
    <w:p w14:paraId="6E99674B">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监护人选择康复训练方式为:</w:t>
      </w:r>
    </w:p>
    <w:p w14:paraId="696D1AA4">
      <w:pPr>
        <w:spacing w:line="312" w:lineRule="auto"/>
        <w:jc w:val="left"/>
        <w:rPr>
          <w:rFonts w:ascii="宋体" w:hAnsi="宋体" w:cs="宋体"/>
          <w:color w:val="auto"/>
          <w:sz w:val="24"/>
          <w:szCs w:val="24"/>
          <w:highlight w:val="none"/>
        </w:rPr>
      </w:pPr>
      <w:r>
        <w:rPr>
          <w:rFonts w:hint="eastAsia" w:ascii="宋体" w:hAnsi="宋体"/>
          <w:color w:val="auto"/>
          <w:sz w:val="24"/>
          <w:highlight w:val="none"/>
        </w:rPr>
        <w:t xml:space="preserve">□ </w:t>
      </w:r>
      <w:r>
        <w:rPr>
          <w:rFonts w:hint="eastAsia" w:ascii="宋体" w:hAnsi="宋体" w:cs="宋体"/>
          <w:color w:val="auto"/>
          <w:sz w:val="24"/>
          <w:szCs w:val="24"/>
          <w:highlight w:val="none"/>
        </w:rPr>
        <w:t>医疗类项目计费方式</w:t>
      </w:r>
    </w:p>
    <w:p w14:paraId="3C7C8D06">
      <w:pPr>
        <w:spacing w:line="312" w:lineRule="auto"/>
        <w:ind w:firstLine="720" w:firstLineChars="300"/>
        <w:jc w:val="left"/>
        <w:rPr>
          <w:rFonts w:ascii="宋体" w:hAnsi="宋体" w:cs="宋体"/>
          <w:color w:val="auto"/>
          <w:sz w:val="24"/>
          <w:szCs w:val="24"/>
          <w:highlight w:val="none"/>
        </w:rPr>
      </w:pPr>
      <w:r>
        <w:rPr>
          <w:rFonts w:hint="eastAsia" w:ascii="宋体" w:hAnsi="宋体"/>
          <w:color w:val="auto"/>
          <w:sz w:val="24"/>
          <w:highlight w:val="none"/>
        </w:rPr>
        <w:t xml:space="preserve">□ </w:t>
      </w:r>
      <w:r>
        <w:rPr>
          <w:rFonts w:hint="eastAsia" w:ascii="宋体" w:hAnsi="宋体" w:cs="宋体"/>
          <w:color w:val="auto"/>
          <w:sz w:val="24"/>
          <w:szCs w:val="24"/>
          <w:highlight w:val="none"/>
        </w:rPr>
        <w:t>教育类全日制康复训练方式(须填写甲方责任第2条)</w:t>
      </w:r>
    </w:p>
    <w:p w14:paraId="2E812640">
      <w:pPr>
        <w:spacing w:line="312" w:lineRule="auto"/>
        <w:ind w:firstLine="720" w:firstLineChars="300"/>
        <w:jc w:val="left"/>
        <w:rPr>
          <w:rFonts w:ascii="宋体" w:hAnsi="宋体" w:cs="宋体"/>
          <w:color w:val="auto"/>
          <w:sz w:val="24"/>
          <w:szCs w:val="24"/>
          <w:highlight w:val="none"/>
        </w:rPr>
      </w:pPr>
      <w:r>
        <w:rPr>
          <w:rFonts w:hint="eastAsia" w:ascii="宋体" w:hAnsi="宋体"/>
          <w:color w:val="auto"/>
          <w:sz w:val="24"/>
          <w:highlight w:val="none"/>
        </w:rPr>
        <w:t xml:space="preserve">□ </w:t>
      </w:r>
      <w:r>
        <w:rPr>
          <w:rFonts w:hint="eastAsia" w:ascii="宋体" w:hAnsi="宋体" w:cs="宋体"/>
          <w:color w:val="auto"/>
          <w:sz w:val="24"/>
          <w:szCs w:val="24"/>
          <w:highlight w:val="none"/>
        </w:rPr>
        <w:t>教育类半日制康复训练方式(须填写甲方责任第3条)</w:t>
      </w:r>
    </w:p>
    <w:p w14:paraId="16A1C707">
      <w:pPr>
        <w:spacing w:line="312" w:lineRule="auto"/>
        <w:ind w:firstLine="720" w:firstLineChars="300"/>
        <w:jc w:val="left"/>
        <w:rPr>
          <w:rFonts w:ascii="宋体" w:hAnsi="宋体" w:cs="宋体"/>
          <w:color w:val="auto"/>
          <w:sz w:val="24"/>
          <w:szCs w:val="24"/>
          <w:highlight w:val="none"/>
        </w:rPr>
      </w:pPr>
      <w:r>
        <w:rPr>
          <w:rFonts w:hint="eastAsia" w:ascii="宋体" w:hAnsi="宋体"/>
          <w:color w:val="auto"/>
          <w:sz w:val="24"/>
          <w:highlight w:val="none"/>
        </w:rPr>
        <w:t xml:space="preserve">□ </w:t>
      </w:r>
      <w:r>
        <w:rPr>
          <w:rFonts w:hint="eastAsia" w:ascii="宋体" w:hAnsi="宋体" w:cs="宋体"/>
          <w:color w:val="auto"/>
          <w:sz w:val="24"/>
          <w:szCs w:val="24"/>
          <w:highlight w:val="none"/>
        </w:rPr>
        <w:t>教育类课程制康复训练方式(须填写甲方责任第4条)</w:t>
      </w:r>
    </w:p>
    <w:p w14:paraId="6B2966CF">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一、甲方责任:</w:t>
      </w:r>
    </w:p>
    <w:p w14:paraId="47604B59">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1、甲方同意接受(乙方)为本康复机构在训人员，按中标机构协议及残疾儿童基本康复训练服务相关文件的要求，为受助儿童提供基本康复训练服务。</w:t>
      </w:r>
    </w:p>
    <w:p w14:paraId="19D38F20">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2、甲方提供全日制基本康复训练:每个法定工作日服务时间为上午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时至下午</w:t>
      </w:r>
      <w:r>
        <w:rPr>
          <w:rFonts w:hint="eastAsia" w:ascii="宋体" w:hAnsi="宋体" w:cs="宋体"/>
          <w:color w:val="auto"/>
          <w:sz w:val="24"/>
          <w:szCs w:val="24"/>
          <w:highlight w:val="none"/>
          <w:u w:val="single"/>
        </w:rPr>
        <w:t>（  ）</w:t>
      </w:r>
      <w:r>
        <w:rPr>
          <w:rFonts w:hint="eastAsia" w:ascii="宋体" w:hAnsi="宋体" w:cs="宋体"/>
          <w:color w:val="auto"/>
          <w:sz w:val="24"/>
          <w:szCs w:val="24"/>
          <w:highlight w:val="none"/>
        </w:rPr>
        <w:t>时(含一餐两点、课间活动、午休等)其中康复训练课时为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课时，每课时分钟，其中每日个训课安排</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课时。</w:t>
      </w:r>
    </w:p>
    <w:p w14:paraId="65521565">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3、甲方提供半日制基本康复训练:每个法定工作日服务时间为上/下午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时至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时(含课间休息时间，不安排餐食和午休)，其中康复训练课时为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课时，每课时 （  ）分钟，其中每日个训课安排</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课时。</w:t>
      </w:r>
    </w:p>
    <w:p w14:paraId="5A7BC9ED">
      <w:pPr>
        <w:spacing w:line="312" w:lineRule="auto"/>
        <w:jc w:val="left"/>
        <w:rPr>
          <w:rFonts w:ascii="宋体" w:hAnsi="宋体" w:cs="宋体"/>
          <w:color w:val="auto"/>
          <w:sz w:val="24"/>
          <w:szCs w:val="24"/>
          <w:highlight w:val="none"/>
          <w:u w:val="single"/>
        </w:rPr>
      </w:pPr>
      <w:r>
        <w:rPr>
          <w:rFonts w:hint="eastAsia" w:ascii="宋体" w:hAnsi="宋体" w:cs="宋体"/>
          <w:color w:val="auto"/>
          <w:sz w:val="24"/>
          <w:szCs w:val="24"/>
          <w:highlight w:val="none"/>
        </w:rPr>
        <w:t>4、甲方提供课程制基本康复训练:约定服务时间为（                      ），</w:t>
      </w:r>
    </w:p>
    <w:p w14:paraId="067233E2">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基本康复训练课时为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课时，每课时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分钟，其中个训课安排</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课时。</w:t>
      </w:r>
    </w:p>
    <w:p w14:paraId="079F9D2A">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5、甲方根据定点机构建设标准的要求(含政府框架协议申报材料中承诺及机构质量评估相关要求 )，保证训练场所、教学设备的完善，建立健全安全规章制度，确保乙方的人身安全，杜绝一切安全事故的发生。同时，甲方保证提供给乙方康复训练的专业技术人员资质合法合规，并接受乙方的监督。</w:t>
      </w:r>
    </w:p>
    <w:p w14:paraId="1D90BF02">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6、甲方为乙方建立独立的康复训练档案，内容包括康复计划、康复记录、康复小结以及定期评估记录，真实记录乙方在训期间的康复状况，不断改进康复计划，保质保量做好乙方的康复训练。</w:t>
      </w:r>
    </w:p>
    <w:p w14:paraId="7D472186">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7、甲方协助乙方做好残疾儿童康复训练救助资金的年度申报。</w:t>
      </w:r>
    </w:p>
    <w:p w14:paraId="122B8745">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二、乙方责任:</w:t>
      </w:r>
    </w:p>
    <w:p w14:paraId="01ECB16B">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1、乙方签订协议书前，应确保已完成无锡市残疾儿童康复救助申请流程。</w:t>
      </w:r>
    </w:p>
    <w:p w14:paraId="77AC752B">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2、乙方应按本协议商定的时间，定期送受助儿童到甲方参加基本康复训练，在甲方提供的签到系统中确认签到，并自觉遵守甲方有关规章制度，服从甲方人员管理安排。</w:t>
      </w:r>
    </w:p>
    <w:p w14:paraId="36B8D8DB">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3、乙方对受助对象的身体状况、精神状况、特殊疾病、特异行为及其它特殊情况，应如实告知甲方，在甲方遇到受助对象发生临时病情变化并及时送往医院抢救时，乙方接到通知后须第一时间赶往现场处理。</w:t>
      </w:r>
    </w:p>
    <w:p w14:paraId="041146BD">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4、乙方协议期内如发现甲方有违反协议内容、或违法违规行为、或因服务质量问题等，乙方有权终止本协议，并向残联申请转训至其他定点机构，转训时间按残联相关规定。</w:t>
      </w:r>
    </w:p>
    <w:p w14:paraId="6ACB98B9">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5、乙方有权向残联等相关部门反映甲方真实的服务情况。</w:t>
      </w:r>
    </w:p>
    <w:p w14:paraId="33A18D73">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三、其他约定:</w:t>
      </w:r>
    </w:p>
    <w:p w14:paraId="2AACE023">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1、本协议基本康复训练服务起始时间:自  年  月  日起开始服务。</w:t>
      </w:r>
    </w:p>
    <w:p w14:paraId="16F692A1">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2、按政府相关文件规定，乙方享有的基本康复训练服务救助标准最高限额为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万元/年，其中政府救助标准最高限额为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万元/年，家长承担</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万元/年。由乙方户籍所在地县(区)级残联根据日常督查和年度质量评估结果，向甲方拨款、结算。乙方在训期间，除按照文件规定的基本康复训练标准外，如需要加训，双方应协商后另行签订协议，费用应由乙方自理。</w:t>
      </w:r>
    </w:p>
    <w:p w14:paraId="176B3444">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3、本协议双方盖章签字后生效，一式两份，甲乙双方各一份。</w:t>
      </w:r>
    </w:p>
    <w:p w14:paraId="3DD5860E">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甲方单位名称(盖章):                乙方监护人签名:</w:t>
      </w:r>
    </w:p>
    <w:p w14:paraId="483B2E1A">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法人代表签章:                      户籍地址:</w:t>
      </w:r>
    </w:p>
    <w:p w14:paraId="301FD304">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负责人签名:                        现居住地址:</w:t>
      </w:r>
    </w:p>
    <w:p w14:paraId="23C03314">
      <w:pPr>
        <w:spacing w:line="312" w:lineRule="auto"/>
        <w:ind w:firstLine="4080" w:firstLineChars="1700"/>
        <w:jc w:val="left"/>
        <w:rPr>
          <w:rFonts w:ascii="宋体" w:hAnsi="宋体" w:cs="宋体"/>
          <w:color w:val="auto"/>
          <w:sz w:val="24"/>
          <w:szCs w:val="24"/>
          <w:highlight w:val="none"/>
        </w:rPr>
      </w:pPr>
      <w:r>
        <w:rPr>
          <w:rFonts w:hint="eastAsia" w:ascii="宋体" w:hAnsi="宋体" w:cs="宋体"/>
          <w:color w:val="auto"/>
          <w:sz w:val="24"/>
          <w:szCs w:val="24"/>
          <w:highlight w:val="none"/>
        </w:rPr>
        <w:t>联系电话:</w:t>
      </w:r>
    </w:p>
    <w:p w14:paraId="09B3205B">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14:paraId="67E1AB68">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w:t>
      </w:r>
    </w:p>
    <w:p w14:paraId="0D44FAA5">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协议终止确认</w:t>
      </w:r>
    </w:p>
    <w:p w14:paraId="2871607E">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经双方友好协商达成一致意见，本协议自年月日起终止。</w:t>
      </w:r>
    </w:p>
    <w:p w14:paraId="701016B0">
      <w:pPr>
        <w:spacing w:line="312"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甲方负责人确认签名:               乙方监护人签名:</w:t>
      </w:r>
    </w:p>
    <w:p w14:paraId="59B8C49D">
      <w:pPr>
        <w:spacing w:line="312" w:lineRule="auto"/>
        <w:ind w:firstLine="4080" w:firstLineChars="1700"/>
        <w:jc w:val="left"/>
        <w:rPr>
          <w:rFonts w:ascii="宋体" w:hAnsi="宋体" w:cs="宋体"/>
          <w:color w:val="auto"/>
          <w:sz w:val="24"/>
          <w:szCs w:val="24"/>
          <w:highlight w:val="none"/>
        </w:rPr>
      </w:pPr>
      <w:r>
        <w:rPr>
          <w:rFonts w:hint="eastAsia" w:ascii="宋体" w:hAnsi="宋体" w:cs="宋体"/>
          <w:color w:val="auto"/>
          <w:sz w:val="24"/>
          <w:szCs w:val="24"/>
          <w:highlight w:val="none"/>
        </w:rPr>
        <w:t>年   月   日</w:t>
      </w:r>
    </w:p>
    <w:p w14:paraId="2C923646">
      <w:pPr>
        <w:spacing w:before="145" w:after="145" w:line="264" w:lineRule="auto"/>
        <w:jc w:val="center"/>
        <w:outlineLvl w:val="0"/>
        <w:rPr>
          <w:rFonts w:ascii="方正小标宋_GBK" w:hAnsi="方正小标宋_GBK" w:eastAsia="方正小标宋_GBK" w:cs="方正小标宋_GBK"/>
          <w:bCs/>
          <w:color w:val="auto"/>
          <w:sz w:val="32"/>
          <w:szCs w:val="32"/>
          <w:highlight w:val="none"/>
        </w:rPr>
      </w:pPr>
    </w:p>
    <w:p w14:paraId="77FD1CFE">
      <w:pPr>
        <w:spacing w:before="145" w:after="145" w:line="264" w:lineRule="auto"/>
        <w:jc w:val="center"/>
        <w:outlineLvl w:val="0"/>
        <w:rPr>
          <w:rFonts w:ascii="方正小标宋_GBK" w:hAnsi="方正小标宋_GBK" w:eastAsia="方正小标宋_GBK" w:cs="方正小标宋_GBK"/>
          <w:bCs/>
          <w:color w:val="auto"/>
          <w:sz w:val="32"/>
          <w:szCs w:val="32"/>
          <w:highlight w:val="none"/>
        </w:rPr>
      </w:pPr>
    </w:p>
    <w:p w14:paraId="444E2EFD">
      <w:pPr>
        <w:spacing w:before="145" w:after="145" w:line="264" w:lineRule="auto"/>
        <w:jc w:val="center"/>
        <w:outlineLvl w:val="0"/>
        <w:rPr>
          <w:rFonts w:ascii="方正小标宋_GBK" w:hAnsi="方正小标宋_GBK" w:eastAsia="方正小标宋_GBK" w:cs="方正小标宋_GBK"/>
          <w:bCs/>
          <w:color w:val="auto"/>
          <w:sz w:val="32"/>
          <w:szCs w:val="32"/>
          <w:highlight w:val="none"/>
        </w:rPr>
      </w:pPr>
    </w:p>
    <w:p w14:paraId="1267A9E4">
      <w:pPr>
        <w:spacing w:before="145" w:after="145" w:line="264" w:lineRule="auto"/>
        <w:jc w:val="center"/>
        <w:outlineLvl w:val="0"/>
        <w:rPr>
          <w:rFonts w:ascii="方正小标宋_GBK" w:hAnsi="方正小标宋_GBK" w:eastAsia="方正小标宋_GBK" w:cs="方正小标宋_GBK"/>
          <w:bCs/>
          <w:color w:val="auto"/>
          <w:sz w:val="32"/>
          <w:szCs w:val="32"/>
          <w:highlight w:val="none"/>
        </w:rPr>
      </w:pPr>
      <w:r>
        <w:rPr>
          <w:rFonts w:hint="eastAsia" w:ascii="方正小标宋_GBK" w:hAnsi="方正小标宋_GBK" w:eastAsia="方正小标宋_GBK" w:cs="方正小标宋_GBK"/>
          <w:bCs/>
          <w:color w:val="auto"/>
          <w:sz w:val="32"/>
          <w:szCs w:val="32"/>
          <w:highlight w:val="none"/>
        </w:rPr>
        <w:t>《*******合同》补充协议（合同附件）</w:t>
      </w:r>
      <w:bookmarkEnd w:id="236"/>
    </w:p>
    <w:p w14:paraId="178638D9">
      <w:pPr>
        <w:spacing w:line="400" w:lineRule="exact"/>
        <w:ind w:firstLine="480"/>
        <w:rPr>
          <w:rFonts w:ascii="宋体" w:hAnsi="宋体"/>
          <w:bCs/>
          <w:color w:val="auto"/>
          <w:sz w:val="24"/>
          <w:highlight w:val="none"/>
        </w:rPr>
      </w:pPr>
      <w:r>
        <w:rPr>
          <w:rFonts w:hint="eastAsia" w:hAnsi="宋体"/>
          <w:color w:val="auto"/>
          <w:sz w:val="24"/>
          <w:szCs w:val="24"/>
          <w:highlight w:val="none"/>
        </w:rPr>
        <w:t>征集文件及合同未约定事项，双方可友好协商签订补充协议。</w:t>
      </w:r>
    </w:p>
    <w:p w14:paraId="6308B809">
      <w:pPr>
        <w:tabs>
          <w:tab w:val="left" w:pos="1440"/>
        </w:tabs>
        <w:spacing w:line="500" w:lineRule="exact"/>
        <w:jc w:val="center"/>
        <w:outlineLvl w:val="0"/>
        <w:rPr>
          <w:rFonts w:ascii="黑体" w:hAnsi="黑体" w:eastAsia="黑体"/>
          <w:color w:val="auto"/>
          <w:sz w:val="30"/>
          <w:szCs w:val="30"/>
          <w:highlight w:val="none"/>
        </w:rPr>
      </w:pPr>
      <w:r>
        <w:rPr>
          <w:rFonts w:ascii="宋体" w:hAnsi="宋体"/>
          <w:bCs/>
          <w:color w:val="auto"/>
          <w:sz w:val="24"/>
          <w:szCs w:val="24"/>
          <w:highlight w:val="none"/>
        </w:rPr>
        <w:br w:type="page" w:clear="all"/>
      </w:r>
      <w:bookmarkEnd w:id="212"/>
      <w:bookmarkEnd w:id="213"/>
      <w:bookmarkEnd w:id="214"/>
      <w:bookmarkStart w:id="237" w:name="_Hlt16619369"/>
      <w:bookmarkEnd w:id="237"/>
      <w:bookmarkStart w:id="238" w:name="_Hlt16619350"/>
      <w:bookmarkStart w:id="239" w:name="_Toc16938590"/>
      <w:bookmarkStart w:id="240" w:name="_Toc20823346"/>
      <w:bookmarkStart w:id="241" w:name="_Toc120614244"/>
      <w:bookmarkStart w:id="242" w:name="_Toc479757211"/>
      <w:bookmarkStart w:id="243" w:name="_Toc462564139"/>
      <w:r>
        <w:rPr>
          <w:rFonts w:hint="eastAsia" w:ascii="黑体" w:hAnsi="黑体" w:eastAsia="黑体"/>
          <w:color w:val="auto"/>
          <w:sz w:val="36"/>
          <w:szCs w:val="36"/>
          <w:highlight w:val="none"/>
        </w:rPr>
        <w:t>第</w:t>
      </w:r>
      <w:bookmarkEnd w:id="238"/>
      <w:r>
        <w:rPr>
          <w:rFonts w:hint="eastAsia" w:ascii="黑体" w:hAnsi="黑体" w:eastAsia="黑体"/>
          <w:color w:val="auto"/>
          <w:sz w:val="36"/>
          <w:szCs w:val="36"/>
          <w:highlight w:val="none"/>
        </w:rPr>
        <w:t>四章 采购需求</w:t>
      </w:r>
      <w:bookmarkEnd w:id="239"/>
      <w:bookmarkEnd w:id="240"/>
      <w:bookmarkEnd w:id="241"/>
      <w:bookmarkStart w:id="244" w:name="_Toc26554093"/>
      <w:bookmarkStart w:id="245" w:name="_Toc49090575"/>
    </w:p>
    <w:p w14:paraId="623A7FD8">
      <w:pPr>
        <w:spacing w:line="360" w:lineRule="auto"/>
        <w:ind w:firstLine="600"/>
        <w:rPr>
          <w:rFonts w:ascii="黑体" w:hAnsi="黑体" w:eastAsia="黑体"/>
          <w:color w:val="auto"/>
          <w:sz w:val="30"/>
          <w:szCs w:val="30"/>
          <w:highlight w:val="none"/>
        </w:rPr>
      </w:pPr>
      <w:r>
        <w:rPr>
          <w:rFonts w:hint="eastAsia" w:ascii="黑体" w:hAnsi="黑体" w:eastAsia="黑体"/>
          <w:color w:val="auto"/>
          <w:sz w:val="30"/>
          <w:szCs w:val="30"/>
          <w:highlight w:val="none"/>
        </w:rPr>
        <w:t>本项目属性：服务类项目</w:t>
      </w:r>
    </w:p>
    <w:p w14:paraId="43C77A9A">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供应商所响应内容必须满足以下要求，不得有负偏离。</w:t>
      </w:r>
    </w:p>
    <w:p w14:paraId="5A026AA0">
      <w:pPr>
        <w:spacing w:line="360" w:lineRule="auto"/>
        <w:ind w:firstLine="480"/>
        <w:rPr>
          <w:rFonts w:ascii="宋体" w:hAnsi="宋体"/>
          <w:bCs/>
          <w:color w:val="auto"/>
          <w:sz w:val="24"/>
          <w:szCs w:val="24"/>
          <w:highlight w:val="none"/>
        </w:rPr>
      </w:pPr>
      <w:r>
        <w:rPr>
          <w:rFonts w:hint="eastAsia" w:ascii="宋体" w:hAnsi="宋体"/>
          <w:bCs/>
          <w:color w:val="auto"/>
          <w:sz w:val="24"/>
          <w:szCs w:val="24"/>
          <w:highlight w:val="none"/>
        </w:rPr>
        <w:t>本项目标的物所属行业：其他未列明行业</w:t>
      </w:r>
    </w:p>
    <w:p w14:paraId="6DDE6DFF">
      <w:pPr>
        <w:spacing w:line="520" w:lineRule="exact"/>
        <w:ind w:firstLine="480" w:firstLineChars="200"/>
        <w:rPr>
          <w:rFonts w:ascii="宋体" w:hAnsi="宋体" w:cs="宋体"/>
          <w:color w:val="auto"/>
          <w:sz w:val="24"/>
          <w:szCs w:val="24"/>
          <w:highlight w:val="none"/>
        </w:rPr>
      </w:pPr>
      <w:r>
        <w:rPr>
          <w:rFonts w:hint="eastAsia" w:ascii="宋体" w:hAnsi="宋体"/>
          <w:color w:val="auto"/>
          <w:sz w:val="24"/>
          <w:szCs w:val="24"/>
          <w:highlight w:val="none"/>
        </w:rPr>
        <w:t>一、</w:t>
      </w:r>
      <w:r>
        <w:rPr>
          <w:rFonts w:hint="eastAsia" w:ascii="宋体" w:hAnsi="宋体" w:cs="宋体"/>
          <w:color w:val="auto"/>
          <w:sz w:val="24"/>
          <w:szCs w:val="24"/>
          <w:highlight w:val="none"/>
        </w:rPr>
        <w:t>需求标准</w:t>
      </w:r>
    </w:p>
    <w:p w14:paraId="1E392D60">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 xml:space="preserve"> 《省残联等四部门关于印发〈江苏省残疾儿童基本康复服务实施规范（2023年版）〉的通知》（苏残规〔2023〕1号）</w:t>
      </w:r>
    </w:p>
    <w:p w14:paraId="128E7E90">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 xml:space="preserve"> 《市残联等四部门关于印发〈无锡市残疾儿童基本康复训练服务管理细则（2024年版）〉的通知》（锡残〔</w:t>
      </w:r>
      <w:r>
        <w:rPr>
          <w:rFonts w:hint="eastAsia" w:asciiTheme="minorEastAsia" w:hAnsiTheme="minorEastAsia" w:eastAsiaTheme="minorEastAsia"/>
          <w:color w:val="auto"/>
          <w:sz w:val="24"/>
          <w:szCs w:val="24"/>
          <w:highlight w:val="none"/>
        </w:rPr>
        <w:t>2024</w:t>
      </w: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10</w:t>
      </w:r>
      <w:r>
        <w:rPr>
          <w:rFonts w:hint="eastAsia" w:cs="宋体" w:asciiTheme="minorEastAsia" w:hAnsiTheme="minorEastAsia" w:eastAsiaTheme="minorEastAsia"/>
          <w:color w:val="auto"/>
          <w:sz w:val="24"/>
          <w:szCs w:val="24"/>
          <w:highlight w:val="none"/>
        </w:rPr>
        <w:t>号）</w:t>
      </w:r>
    </w:p>
    <w:p w14:paraId="7F9A271C">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二、</w:t>
      </w:r>
      <w:r>
        <w:rPr>
          <w:rFonts w:hint="eastAsia" w:cs="宋体" w:asciiTheme="minorEastAsia" w:hAnsiTheme="minorEastAsia" w:eastAsiaTheme="minorEastAsia"/>
          <w:color w:val="auto"/>
          <w:sz w:val="24"/>
          <w:szCs w:val="24"/>
          <w:highlight w:val="none"/>
        </w:rPr>
        <w:t>采购包划分、对应标的及最高限制单价</w:t>
      </w:r>
    </w:p>
    <w:tbl>
      <w:tblPr>
        <w:tblStyle w:val="48"/>
        <w:tblW w:w="83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2"/>
        <w:gridCol w:w="1843"/>
        <w:gridCol w:w="779"/>
        <w:gridCol w:w="497"/>
        <w:gridCol w:w="567"/>
        <w:gridCol w:w="2410"/>
        <w:gridCol w:w="1709"/>
      </w:tblGrid>
      <w:tr w14:paraId="15714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20" w:hRule="atLeast"/>
          <w:jc w:val="center"/>
        </w:trPr>
        <w:tc>
          <w:tcPr>
            <w:tcW w:w="562" w:type="dxa"/>
            <w:vAlign w:val="center"/>
          </w:tcPr>
          <w:p w14:paraId="57DB6457">
            <w:pPr>
              <w:overflowPunct w:val="0"/>
              <w:topLinePunct/>
              <w:jc w:val="center"/>
              <w:rPr>
                <w:rFonts w:asciiTheme="minorEastAsia" w:hAnsiTheme="minorEastAsia" w:eastAsiaTheme="minorEastAsia"/>
                <w:color w:val="auto"/>
                <w:sz w:val="24"/>
                <w:szCs w:val="24"/>
                <w:highlight w:val="none"/>
              </w:rPr>
            </w:pPr>
            <w:bookmarkStart w:id="246" w:name="OLE_LINK32"/>
            <w:bookmarkStart w:id="247" w:name="OLE_LINK40"/>
            <w:r>
              <w:rPr>
                <w:rFonts w:hint="eastAsia" w:cs="宋体" w:asciiTheme="minorEastAsia" w:hAnsiTheme="minorEastAsia" w:eastAsiaTheme="minorEastAsia"/>
                <w:color w:val="auto"/>
                <w:sz w:val="24"/>
                <w:szCs w:val="24"/>
                <w:highlight w:val="none"/>
              </w:rPr>
              <w:t>采购包</w:t>
            </w:r>
          </w:p>
        </w:tc>
        <w:tc>
          <w:tcPr>
            <w:tcW w:w="1843" w:type="dxa"/>
            <w:vAlign w:val="center"/>
          </w:tcPr>
          <w:p w14:paraId="16A55186">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标的名称</w:t>
            </w:r>
          </w:p>
        </w:tc>
        <w:tc>
          <w:tcPr>
            <w:tcW w:w="779" w:type="dxa"/>
            <w:vAlign w:val="center"/>
          </w:tcPr>
          <w:p w14:paraId="5F353514">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品目分类编码</w:t>
            </w:r>
          </w:p>
        </w:tc>
        <w:tc>
          <w:tcPr>
            <w:tcW w:w="497" w:type="dxa"/>
            <w:vAlign w:val="center"/>
          </w:tcPr>
          <w:p w14:paraId="17423156">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计量单位</w:t>
            </w:r>
          </w:p>
        </w:tc>
        <w:tc>
          <w:tcPr>
            <w:tcW w:w="567" w:type="dxa"/>
            <w:vAlign w:val="center"/>
          </w:tcPr>
          <w:p w14:paraId="616B6763">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数量</w:t>
            </w:r>
          </w:p>
        </w:tc>
        <w:tc>
          <w:tcPr>
            <w:tcW w:w="2410" w:type="dxa"/>
            <w:vAlign w:val="center"/>
          </w:tcPr>
          <w:p w14:paraId="706A352D">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限价</w:t>
            </w:r>
          </w:p>
        </w:tc>
        <w:tc>
          <w:tcPr>
            <w:tcW w:w="1709" w:type="dxa"/>
            <w:vAlign w:val="center"/>
          </w:tcPr>
          <w:p w14:paraId="3586F4FC">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政策功能</w:t>
            </w:r>
          </w:p>
        </w:tc>
      </w:tr>
      <w:tr w14:paraId="45D08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562" w:type="dxa"/>
            <w:vAlign w:val="center"/>
          </w:tcPr>
          <w:p w14:paraId="35E8F900">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p>
        </w:tc>
        <w:tc>
          <w:tcPr>
            <w:tcW w:w="1843" w:type="dxa"/>
            <w:vAlign w:val="center"/>
          </w:tcPr>
          <w:p w14:paraId="45A534C4">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视力残疾儿童基本康复训练服务</w:t>
            </w:r>
          </w:p>
        </w:tc>
        <w:tc>
          <w:tcPr>
            <w:tcW w:w="779" w:type="dxa"/>
            <w:vAlign w:val="center"/>
          </w:tcPr>
          <w:p w14:paraId="6DE60CC8">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C04080000</w:t>
            </w:r>
          </w:p>
        </w:tc>
        <w:tc>
          <w:tcPr>
            <w:tcW w:w="497" w:type="dxa"/>
            <w:vAlign w:val="center"/>
          </w:tcPr>
          <w:p w14:paraId="2D853CBC">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w:t>
            </w:r>
          </w:p>
        </w:tc>
        <w:tc>
          <w:tcPr>
            <w:tcW w:w="567" w:type="dxa"/>
            <w:vAlign w:val="center"/>
          </w:tcPr>
          <w:p w14:paraId="6B77B74F">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2410" w:type="dxa"/>
            <w:vMerge w:val="restart"/>
            <w:vAlign w:val="center"/>
          </w:tcPr>
          <w:p w14:paraId="6AC048AF">
            <w:pPr>
              <w:overflowPunct w:val="0"/>
              <w:topLinePunct/>
              <w:rPr>
                <w:rFonts w:asciiTheme="minorEastAsia" w:hAnsiTheme="minorEastAsia" w:eastAsiaTheme="minorEastAsia"/>
                <w:color w:val="auto"/>
                <w:sz w:val="24"/>
                <w:szCs w:val="24"/>
                <w:highlight w:val="none"/>
              </w:rPr>
            </w:pPr>
            <w:bookmarkStart w:id="248" w:name="OLE_LINK100"/>
            <w:r>
              <w:rPr>
                <w:rFonts w:hint="eastAsia" w:cs="宋体" w:asciiTheme="minorEastAsia" w:hAnsiTheme="minorEastAsia" w:eastAsiaTheme="minorEastAsia"/>
                <w:color w:val="auto"/>
                <w:sz w:val="24"/>
                <w:szCs w:val="24"/>
                <w:highlight w:val="none"/>
              </w:rPr>
              <w:t>按《市政府办印发关于完善残疾儿童康复救助制度的实施办法的通知》（锡政办发〔2019〕43号）和《市残联市财政局关于优化残疾儿童康复救助工作的通知》（锡残〔</w:t>
            </w:r>
            <w:r>
              <w:rPr>
                <w:rFonts w:cs="宋体" w:asciiTheme="minorEastAsia" w:hAnsiTheme="minorEastAsia" w:eastAsiaTheme="minorEastAsia"/>
                <w:color w:val="auto"/>
                <w:sz w:val="24"/>
                <w:szCs w:val="24"/>
                <w:highlight w:val="none"/>
              </w:rPr>
              <w:t>2023</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19</w:t>
            </w:r>
            <w:r>
              <w:rPr>
                <w:rFonts w:hint="eastAsia" w:cs="宋体" w:asciiTheme="minorEastAsia" w:hAnsiTheme="minorEastAsia" w:eastAsiaTheme="minorEastAsia"/>
                <w:color w:val="auto"/>
                <w:sz w:val="24"/>
                <w:szCs w:val="24"/>
                <w:highlight w:val="none"/>
              </w:rPr>
              <w:t>号）中相关政策标准执行，后续如有政府相关部门出台更新救助范围、救助标准，则按最新救助范围和标准执行。</w:t>
            </w:r>
            <w:bookmarkEnd w:id="248"/>
          </w:p>
        </w:tc>
        <w:tc>
          <w:tcPr>
            <w:tcW w:w="1709" w:type="dxa"/>
            <w:vMerge w:val="restart"/>
            <w:vAlign w:val="center"/>
          </w:tcPr>
          <w:p w14:paraId="6DB14C7F">
            <w:pPr>
              <w:overflowPunct w:val="0"/>
              <w:topLinePun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限价为征集人可支付的最高结算额度，</w:t>
            </w:r>
            <w:bookmarkStart w:id="249" w:name="OLE_LINK87"/>
            <w:bookmarkStart w:id="250" w:name="OLE_LINK88"/>
            <w:r>
              <w:rPr>
                <w:rFonts w:hint="eastAsia" w:cs="宋体" w:asciiTheme="minorEastAsia" w:hAnsiTheme="minorEastAsia" w:eastAsiaTheme="minorEastAsia"/>
                <w:color w:val="auto"/>
                <w:sz w:val="24"/>
                <w:szCs w:val="24"/>
                <w:highlight w:val="none"/>
              </w:rPr>
              <w:t>具体结算金额按相关文件执行。</w:t>
            </w:r>
            <w:bookmarkEnd w:id="249"/>
            <w:bookmarkEnd w:id="250"/>
          </w:p>
        </w:tc>
      </w:tr>
      <w:tr w14:paraId="1FBF6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562" w:type="dxa"/>
            <w:vAlign w:val="center"/>
          </w:tcPr>
          <w:p w14:paraId="6BA5C42B">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1843" w:type="dxa"/>
            <w:vAlign w:val="center"/>
          </w:tcPr>
          <w:p w14:paraId="5163A2E7">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听力（言语）残疾儿童基本康复训练服务</w:t>
            </w:r>
          </w:p>
        </w:tc>
        <w:tc>
          <w:tcPr>
            <w:tcW w:w="779" w:type="dxa"/>
            <w:vAlign w:val="center"/>
          </w:tcPr>
          <w:p w14:paraId="766D465D">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C04080000</w:t>
            </w:r>
          </w:p>
        </w:tc>
        <w:tc>
          <w:tcPr>
            <w:tcW w:w="497" w:type="dxa"/>
            <w:vAlign w:val="center"/>
          </w:tcPr>
          <w:p w14:paraId="593164CE">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w:t>
            </w:r>
          </w:p>
        </w:tc>
        <w:tc>
          <w:tcPr>
            <w:tcW w:w="567" w:type="dxa"/>
            <w:vAlign w:val="center"/>
          </w:tcPr>
          <w:p w14:paraId="56F518D0">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2410" w:type="dxa"/>
            <w:vMerge w:val="continue"/>
            <w:vAlign w:val="center"/>
          </w:tcPr>
          <w:p w14:paraId="13C5C592">
            <w:pPr>
              <w:overflowPunct w:val="0"/>
              <w:topLinePunct/>
              <w:rPr>
                <w:rFonts w:asciiTheme="minorEastAsia" w:hAnsiTheme="minorEastAsia" w:eastAsiaTheme="minorEastAsia"/>
                <w:color w:val="auto"/>
                <w:sz w:val="24"/>
                <w:szCs w:val="24"/>
                <w:highlight w:val="none"/>
              </w:rPr>
            </w:pPr>
          </w:p>
        </w:tc>
        <w:tc>
          <w:tcPr>
            <w:tcW w:w="1709" w:type="dxa"/>
            <w:vMerge w:val="continue"/>
            <w:vAlign w:val="center"/>
          </w:tcPr>
          <w:p w14:paraId="25393BFF">
            <w:pPr>
              <w:overflowPunct w:val="0"/>
              <w:topLinePunct/>
              <w:rPr>
                <w:rFonts w:asciiTheme="minorEastAsia" w:hAnsiTheme="minorEastAsia" w:eastAsiaTheme="minorEastAsia"/>
                <w:color w:val="auto"/>
                <w:sz w:val="24"/>
                <w:szCs w:val="24"/>
                <w:highlight w:val="none"/>
              </w:rPr>
            </w:pPr>
          </w:p>
        </w:tc>
      </w:tr>
      <w:tr w14:paraId="728BA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562" w:type="dxa"/>
            <w:vAlign w:val="center"/>
          </w:tcPr>
          <w:p w14:paraId="0C658CB8">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3</w:t>
            </w:r>
          </w:p>
        </w:tc>
        <w:tc>
          <w:tcPr>
            <w:tcW w:w="1843" w:type="dxa"/>
            <w:vAlign w:val="center"/>
          </w:tcPr>
          <w:p w14:paraId="2ED41402">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肢体（脑瘫）残疾儿童基本康复训练服务</w:t>
            </w:r>
          </w:p>
        </w:tc>
        <w:tc>
          <w:tcPr>
            <w:tcW w:w="779" w:type="dxa"/>
            <w:vAlign w:val="center"/>
          </w:tcPr>
          <w:p w14:paraId="19106E2A">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C04080000</w:t>
            </w:r>
          </w:p>
        </w:tc>
        <w:tc>
          <w:tcPr>
            <w:tcW w:w="497" w:type="dxa"/>
            <w:vAlign w:val="center"/>
          </w:tcPr>
          <w:p w14:paraId="265F0824">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w:t>
            </w:r>
          </w:p>
        </w:tc>
        <w:tc>
          <w:tcPr>
            <w:tcW w:w="567" w:type="dxa"/>
            <w:vAlign w:val="center"/>
          </w:tcPr>
          <w:p w14:paraId="26C8207A">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2410" w:type="dxa"/>
            <w:vMerge w:val="continue"/>
            <w:vAlign w:val="center"/>
          </w:tcPr>
          <w:p w14:paraId="6692A22A">
            <w:pPr>
              <w:overflowPunct w:val="0"/>
              <w:topLinePunct/>
              <w:rPr>
                <w:rFonts w:asciiTheme="minorEastAsia" w:hAnsiTheme="minorEastAsia" w:eastAsiaTheme="minorEastAsia"/>
                <w:color w:val="auto"/>
                <w:sz w:val="24"/>
                <w:szCs w:val="24"/>
                <w:highlight w:val="none"/>
              </w:rPr>
            </w:pPr>
          </w:p>
        </w:tc>
        <w:tc>
          <w:tcPr>
            <w:tcW w:w="1709" w:type="dxa"/>
            <w:vMerge w:val="continue"/>
            <w:vAlign w:val="center"/>
          </w:tcPr>
          <w:p w14:paraId="226407CA">
            <w:pPr>
              <w:overflowPunct w:val="0"/>
              <w:topLinePunct/>
              <w:rPr>
                <w:rFonts w:asciiTheme="minorEastAsia" w:hAnsiTheme="minorEastAsia" w:eastAsiaTheme="minorEastAsia"/>
                <w:color w:val="auto"/>
                <w:sz w:val="24"/>
                <w:szCs w:val="24"/>
                <w:highlight w:val="none"/>
              </w:rPr>
            </w:pPr>
          </w:p>
        </w:tc>
      </w:tr>
      <w:tr w14:paraId="354F66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562" w:type="dxa"/>
            <w:vAlign w:val="center"/>
          </w:tcPr>
          <w:p w14:paraId="723C47D1">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4</w:t>
            </w:r>
          </w:p>
        </w:tc>
        <w:tc>
          <w:tcPr>
            <w:tcW w:w="1843" w:type="dxa"/>
            <w:vAlign w:val="center"/>
          </w:tcPr>
          <w:p w14:paraId="0D9C16B0">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智力残疾儿童基本康复训练服务</w:t>
            </w:r>
          </w:p>
        </w:tc>
        <w:tc>
          <w:tcPr>
            <w:tcW w:w="779" w:type="dxa"/>
            <w:vAlign w:val="center"/>
          </w:tcPr>
          <w:p w14:paraId="381F17DC">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C04080000</w:t>
            </w:r>
          </w:p>
        </w:tc>
        <w:tc>
          <w:tcPr>
            <w:tcW w:w="497" w:type="dxa"/>
            <w:vAlign w:val="center"/>
          </w:tcPr>
          <w:p w14:paraId="1BE3160F">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w:t>
            </w:r>
          </w:p>
        </w:tc>
        <w:tc>
          <w:tcPr>
            <w:tcW w:w="567" w:type="dxa"/>
            <w:vAlign w:val="center"/>
          </w:tcPr>
          <w:p w14:paraId="71D20DB2">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2410" w:type="dxa"/>
            <w:vMerge w:val="continue"/>
            <w:vAlign w:val="center"/>
          </w:tcPr>
          <w:p w14:paraId="2264541C">
            <w:pPr>
              <w:overflowPunct w:val="0"/>
              <w:topLinePunct/>
              <w:rPr>
                <w:rFonts w:asciiTheme="minorEastAsia" w:hAnsiTheme="minorEastAsia" w:eastAsiaTheme="minorEastAsia"/>
                <w:color w:val="auto"/>
                <w:sz w:val="24"/>
                <w:szCs w:val="24"/>
                <w:highlight w:val="none"/>
              </w:rPr>
            </w:pPr>
          </w:p>
        </w:tc>
        <w:tc>
          <w:tcPr>
            <w:tcW w:w="1709" w:type="dxa"/>
            <w:vMerge w:val="continue"/>
            <w:vAlign w:val="center"/>
          </w:tcPr>
          <w:p w14:paraId="7DFB85F8">
            <w:pPr>
              <w:overflowPunct w:val="0"/>
              <w:topLinePunct/>
              <w:rPr>
                <w:rFonts w:asciiTheme="minorEastAsia" w:hAnsiTheme="minorEastAsia" w:eastAsiaTheme="minorEastAsia"/>
                <w:color w:val="auto"/>
                <w:sz w:val="24"/>
                <w:szCs w:val="24"/>
                <w:highlight w:val="none"/>
              </w:rPr>
            </w:pPr>
          </w:p>
        </w:tc>
      </w:tr>
      <w:tr w14:paraId="7E94D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562" w:type="dxa"/>
            <w:vAlign w:val="center"/>
          </w:tcPr>
          <w:p w14:paraId="420C68E1">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w:t>
            </w:r>
          </w:p>
        </w:tc>
        <w:tc>
          <w:tcPr>
            <w:tcW w:w="1843" w:type="dxa"/>
            <w:vAlign w:val="center"/>
          </w:tcPr>
          <w:p w14:paraId="7120687C">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孤独症儿童基本康复训练服务</w:t>
            </w:r>
          </w:p>
        </w:tc>
        <w:tc>
          <w:tcPr>
            <w:tcW w:w="779" w:type="dxa"/>
            <w:vAlign w:val="center"/>
          </w:tcPr>
          <w:p w14:paraId="03555AB5">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C04080000</w:t>
            </w:r>
          </w:p>
        </w:tc>
        <w:tc>
          <w:tcPr>
            <w:tcW w:w="497" w:type="dxa"/>
            <w:vAlign w:val="center"/>
          </w:tcPr>
          <w:p w14:paraId="7C857664">
            <w:pPr>
              <w:overflowPunct w:val="0"/>
              <w:topLinePunct/>
              <w:jc w:val="center"/>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年</w:t>
            </w:r>
          </w:p>
        </w:tc>
        <w:tc>
          <w:tcPr>
            <w:tcW w:w="567" w:type="dxa"/>
            <w:vAlign w:val="center"/>
          </w:tcPr>
          <w:p w14:paraId="271BD3B7">
            <w:pPr>
              <w:overflowPunct w:val="0"/>
              <w:topLinePunct/>
              <w:jc w:val="center"/>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2</w:t>
            </w:r>
          </w:p>
        </w:tc>
        <w:tc>
          <w:tcPr>
            <w:tcW w:w="2410" w:type="dxa"/>
            <w:vMerge w:val="continue"/>
            <w:vAlign w:val="center"/>
          </w:tcPr>
          <w:p w14:paraId="7195E7C6">
            <w:pPr>
              <w:overflowPunct w:val="0"/>
              <w:topLinePunct/>
              <w:rPr>
                <w:rFonts w:asciiTheme="minorEastAsia" w:hAnsiTheme="minorEastAsia" w:eastAsiaTheme="minorEastAsia"/>
                <w:color w:val="auto"/>
                <w:sz w:val="24"/>
                <w:szCs w:val="24"/>
                <w:highlight w:val="none"/>
              </w:rPr>
            </w:pPr>
          </w:p>
        </w:tc>
        <w:tc>
          <w:tcPr>
            <w:tcW w:w="1709" w:type="dxa"/>
            <w:vMerge w:val="continue"/>
            <w:vAlign w:val="center"/>
          </w:tcPr>
          <w:p w14:paraId="1EE97E09">
            <w:pPr>
              <w:overflowPunct w:val="0"/>
              <w:topLinePunct/>
              <w:rPr>
                <w:rFonts w:asciiTheme="minorEastAsia" w:hAnsiTheme="minorEastAsia" w:eastAsiaTheme="minorEastAsia"/>
                <w:color w:val="auto"/>
                <w:sz w:val="24"/>
                <w:szCs w:val="24"/>
                <w:highlight w:val="none"/>
              </w:rPr>
            </w:pPr>
          </w:p>
        </w:tc>
      </w:tr>
      <w:bookmarkEnd w:id="246"/>
      <w:bookmarkEnd w:id="247"/>
    </w:tbl>
    <w:p w14:paraId="2E09BF33">
      <w:pPr>
        <w:overflowPunct w:val="0"/>
        <w:topLinePun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注意：同时入围多个类别的供应商，有相应资格为多重残疾的儿童提供相应类别的基本康复训练服务，限价为：</w:t>
      </w:r>
      <w:r>
        <w:rPr>
          <w:rFonts w:hint="eastAsia" w:asciiTheme="minorEastAsia" w:hAnsiTheme="minorEastAsia" w:eastAsiaTheme="minorEastAsia"/>
          <w:color w:val="auto"/>
          <w:sz w:val="24"/>
          <w:szCs w:val="24"/>
          <w:highlight w:val="none"/>
        </w:rPr>
        <w:t>0-6</w:t>
      </w:r>
      <w:r>
        <w:rPr>
          <w:rFonts w:hint="eastAsia" w:cs="宋体" w:asciiTheme="minorEastAsia" w:hAnsiTheme="minorEastAsia" w:eastAsiaTheme="minorEastAsia"/>
          <w:color w:val="auto"/>
          <w:sz w:val="24"/>
          <w:szCs w:val="24"/>
          <w:highlight w:val="none"/>
        </w:rPr>
        <w:t>周岁</w:t>
      </w:r>
      <w:r>
        <w:rPr>
          <w:rFonts w:hint="eastAsia" w:asciiTheme="minorEastAsia" w:hAnsiTheme="minorEastAsia" w:eastAsiaTheme="minorEastAsia"/>
          <w:color w:val="auto"/>
          <w:sz w:val="24"/>
          <w:szCs w:val="24"/>
          <w:highlight w:val="none"/>
        </w:rPr>
        <w:t>5</w:t>
      </w:r>
      <w:r>
        <w:rPr>
          <w:rFonts w:hint="eastAsia" w:cs="宋体" w:asciiTheme="minorEastAsia" w:hAnsiTheme="minorEastAsia" w:eastAsiaTheme="minorEastAsia"/>
          <w:color w:val="auto"/>
          <w:sz w:val="24"/>
          <w:szCs w:val="24"/>
          <w:highlight w:val="none"/>
        </w:rPr>
        <w:t>万元</w:t>
      </w:r>
      <w:r>
        <w:rPr>
          <w:rFonts w:hint="eastAsia"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年，</w:t>
      </w:r>
      <w:r>
        <w:rPr>
          <w:rFonts w:hint="eastAsia" w:asciiTheme="minorEastAsia" w:hAnsiTheme="minorEastAsia" w:eastAsiaTheme="minorEastAsia"/>
          <w:color w:val="auto"/>
          <w:sz w:val="24"/>
          <w:szCs w:val="24"/>
          <w:highlight w:val="none"/>
        </w:rPr>
        <w:t>7-10</w:t>
      </w:r>
      <w:r>
        <w:rPr>
          <w:rFonts w:hint="eastAsia" w:cs="宋体" w:asciiTheme="minorEastAsia" w:hAnsiTheme="minorEastAsia" w:eastAsiaTheme="minorEastAsia"/>
          <w:color w:val="auto"/>
          <w:sz w:val="24"/>
          <w:szCs w:val="24"/>
          <w:highlight w:val="none"/>
        </w:rPr>
        <w:t>周岁</w:t>
      </w:r>
      <w:r>
        <w:rPr>
          <w:rFonts w:hint="eastAsia"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szCs w:val="24"/>
          <w:highlight w:val="none"/>
        </w:rPr>
        <w:t>万元</w:t>
      </w:r>
      <w:r>
        <w:rPr>
          <w:rFonts w:hint="eastAsia"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年，</w:t>
      </w:r>
      <w:r>
        <w:rPr>
          <w:rFonts w:hint="eastAsia" w:asciiTheme="minorEastAsia" w:hAnsiTheme="minorEastAsia" w:eastAsiaTheme="minorEastAsia"/>
          <w:color w:val="auto"/>
          <w:sz w:val="24"/>
          <w:szCs w:val="24"/>
          <w:highlight w:val="none"/>
        </w:rPr>
        <w:t>11-14</w:t>
      </w:r>
      <w:r>
        <w:rPr>
          <w:rFonts w:hint="eastAsia" w:cs="宋体" w:asciiTheme="minorEastAsia" w:hAnsiTheme="minorEastAsia" w:eastAsiaTheme="minorEastAsia"/>
          <w:color w:val="auto"/>
          <w:sz w:val="24"/>
          <w:szCs w:val="24"/>
          <w:highlight w:val="none"/>
        </w:rPr>
        <w:t>周岁</w:t>
      </w:r>
      <w:r>
        <w:rPr>
          <w:rFonts w:hint="eastAsia" w:asciiTheme="minorEastAsia" w:hAnsiTheme="minorEastAsia" w:eastAsiaTheme="minorEastAsia"/>
          <w:color w:val="auto"/>
          <w:sz w:val="24"/>
          <w:szCs w:val="24"/>
          <w:highlight w:val="none"/>
        </w:rPr>
        <w:t>3</w:t>
      </w:r>
      <w:r>
        <w:rPr>
          <w:rFonts w:hint="eastAsia" w:cs="宋体" w:asciiTheme="minorEastAsia" w:hAnsiTheme="minorEastAsia" w:eastAsiaTheme="minorEastAsia"/>
          <w:color w:val="auto"/>
          <w:sz w:val="24"/>
          <w:szCs w:val="24"/>
          <w:highlight w:val="none"/>
        </w:rPr>
        <w:t>万元</w:t>
      </w:r>
      <w:r>
        <w:rPr>
          <w:rFonts w:hint="eastAsia"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年。</w:t>
      </w:r>
    </w:p>
    <w:p w14:paraId="46F8CB56">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三、确定第二阶段成交供应商的方法</w:t>
      </w:r>
    </w:p>
    <w:p w14:paraId="519D8AD7">
      <w:pPr>
        <w:overflowPunct w:val="0"/>
        <w:topLinePunct/>
        <w:spacing w:line="520" w:lineRule="exact"/>
        <w:ind w:firstLine="480" w:firstLineChars="200"/>
        <w:rPr>
          <w:rFonts w:asciiTheme="minorEastAsia" w:hAnsiTheme="minorEastAsia" w:eastAsiaTheme="minorEastAsia"/>
          <w:color w:val="auto"/>
          <w:sz w:val="24"/>
          <w:szCs w:val="24"/>
          <w:highlight w:val="none"/>
        </w:rPr>
      </w:pPr>
      <w:bookmarkStart w:id="251" w:name="OLE_LINK83"/>
      <w:bookmarkStart w:id="252" w:name="OLE_LINK84"/>
      <w:bookmarkStart w:id="253" w:name="OLE_LINK104"/>
      <w:r>
        <w:rPr>
          <w:rFonts w:hint="eastAsia" w:asciiTheme="minorEastAsia" w:hAnsiTheme="minorEastAsia" w:eastAsiaTheme="minorEastAsia"/>
          <w:color w:val="auto"/>
          <w:sz w:val="24"/>
          <w:szCs w:val="24"/>
          <w:highlight w:val="none"/>
        </w:rPr>
        <w:t>由服务对象即残疾儿童或残疾儿童监护人直接选定。具体选定流程以《无锡市残疾儿童基本康复训练服务管理细则（2024年版）》（锡残〔</w:t>
      </w:r>
      <w:r>
        <w:rPr>
          <w:rFonts w:asciiTheme="minorEastAsia" w:hAnsiTheme="minorEastAsia" w:eastAsiaTheme="minorEastAsia"/>
          <w:color w:val="auto"/>
          <w:sz w:val="24"/>
          <w:szCs w:val="24"/>
          <w:highlight w:val="none"/>
        </w:rPr>
        <w:t>202</w:t>
      </w:r>
      <w:r>
        <w:rPr>
          <w:rFonts w:hint="eastAsia" w:asciiTheme="minorEastAsia" w:hAnsiTheme="minorEastAsia" w:eastAsiaTheme="minorEastAsia"/>
          <w:color w:val="auto"/>
          <w:sz w:val="24"/>
          <w:szCs w:val="24"/>
          <w:highlight w:val="none"/>
        </w:rPr>
        <w:t>4〕10号）为准，后续如有政策更新流程，以最新政策执行。</w:t>
      </w:r>
      <w:bookmarkEnd w:id="251"/>
      <w:bookmarkEnd w:id="252"/>
      <w:bookmarkEnd w:id="253"/>
    </w:p>
    <w:p w14:paraId="23E449D3">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四、技术商务要求</w:t>
      </w:r>
    </w:p>
    <w:p w14:paraId="07F0F6D4">
      <w:pPr>
        <w:overflowPunct w:val="0"/>
        <w:topLinePunct/>
        <w:spacing w:line="520" w:lineRule="exact"/>
        <w:jc w:val="center"/>
        <w:rPr>
          <w:rFonts w:cs="宋体" w:asciiTheme="minorEastAsia" w:hAnsiTheme="minorEastAsia" w:eastAsiaTheme="minorEastAsia"/>
          <w:b/>
          <w:bCs/>
          <w:color w:val="auto"/>
          <w:sz w:val="24"/>
          <w:szCs w:val="24"/>
          <w:highlight w:val="none"/>
        </w:rPr>
      </w:pPr>
      <w:bookmarkStart w:id="254" w:name="_Hlk144160645"/>
      <w:r>
        <w:rPr>
          <w:rFonts w:hint="eastAsia" w:asciiTheme="minorEastAsia" w:hAnsiTheme="minorEastAsia" w:eastAsiaTheme="minorEastAsia"/>
          <w:b/>
          <w:bCs/>
          <w:color w:val="auto"/>
          <w:sz w:val="24"/>
          <w:szCs w:val="24"/>
          <w:highlight w:val="none"/>
        </w:rPr>
        <w:t>采购包一</w:t>
      </w:r>
      <w:r>
        <w:rPr>
          <w:rFonts w:hint="eastAsia" w:cs="宋体" w:asciiTheme="minorEastAsia" w:hAnsiTheme="minorEastAsia" w:eastAsiaTheme="minorEastAsia"/>
          <w:b/>
          <w:bCs/>
          <w:color w:val="auto"/>
          <w:sz w:val="24"/>
          <w:szCs w:val="24"/>
          <w:highlight w:val="none"/>
        </w:rPr>
        <w:t>：视力残疾儿童基本康复训练服务采购需求</w:t>
      </w:r>
    </w:p>
    <w:p w14:paraId="4239C7F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．建设要求：本地训练场所应在三层及以下的非地下室，符合国家无障碍通行要求。（提供房产证或租赁协议，若为租赁协议另需提供房主房产证或其他有效的产权证明，外部环境和内部场所照片及介绍文字）</w:t>
      </w:r>
    </w:p>
    <w:p w14:paraId="3DB8CA89">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2. </w:t>
      </w:r>
      <w:r>
        <w:rPr>
          <w:rFonts w:hint="eastAsia" w:cs="宋体" w:asciiTheme="minorEastAsia" w:hAnsiTheme="minorEastAsia" w:eastAsiaTheme="minorEastAsia"/>
          <w:color w:val="auto"/>
          <w:sz w:val="24"/>
          <w:szCs w:val="24"/>
          <w:highlight w:val="none"/>
        </w:rPr>
        <w:t>训练场地：业务用房面积不少于60%，总建筑面积不少于80平方米。设置独立的低视力诊室不少于15平方米；设置独立的助视器适配区不少于15平方米；设置视功能训练室、日常生活适应能力训练室、定向行走训练室、集体教室，除集体教室外，其他三种功能室可以综合设置也可以分开设置。（提供场所平面图并标注出各种功能室，提供各功能室照片）</w:t>
      </w:r>
    </w:p>
    <w:p w14:paraId="753EBD03">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 </w:t>
      </w:r>
      <w:r>
        <w:rPr>
          <w:rFonts w:hint="eastAsia" w:cs="宋体" w:asciiTheme="minorEastAsia" w:hAnsiTheme="minorEastAsia" w:eastAsiaTheme="minorEastAsia"/>
          <w:color w:val="auto"/>
          <w:sz w:val="24"/>
          <w:szCs w:val="24"/>
          <w:highlight w:val="none"/>
        </w:rPr>
        <w:t>训练设备（提供清单及使用过程中的照片）</w:t>
      </w:r>
    </w:p>
    <w:p w14:paraId="02E614BA">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（1）配备视觉检查设备与器材，包括视力表、眼科诊疗常用设备、助视器配镜、普通验光设备等；</w:t>
      </w:r>
    </w:p>
    <w:p w14:paraId="4FB5E7FB">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）配备视觉康复训练设备与器材，包括光学、电子类助视器、其它训练器械和辅助设备等；</w:t>
      </w:r>
    </w:p>
    <w:p w14:paraId="10915BCF">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（3）配备定向行走辅助器材，包括感统训练器具、定向辅具、移动辅具等；</w:t>
      </w:r>
    </w:p>
    <w:p w14:paraId="337BD397">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szCs w:val="24"/>
          <w:highlight w:val="none"/>
        </w:rPr>
        <w:t>）配备弱视训练设备与器材，包括各类弱视训练仪器、后像光刷仪等；</w:t>
      </w:r>
    </w:p>
    <w:p w14:paraId="307114F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5</w:t>
      </w:r>
      <w:r>
        <w:rPr>
          <w:rFonts w:hint="eastAsia" w:cs="宋体" w:asciiTheme="minorEastAsia" w:hAnsiTheme="minorEastAsia" w:eastAsiaTheme="minorEastAsia"/>
          <w:color w:val="auto"/>
          <w:sz w:val="24"/>
          <w:szCs w:val="24"/>
          <w:highlight w:val="none"/>
        </w:rPr>
        <w:t>）配备双眼视觉功能训练设备与器材，包括同视机等训练器材；</w:t>
      </w:r>
    </w:p>
    <w:p w14:paraId="7D3DD151">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（6）配备家长培训所需的教学设备；至少配备80件符合儿童视力康复训练特点的各类玩具、图书。</w:t>
      </w:r>
    </w:p>
    <w:p w14:paraId="47941A38">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4. 人员配备： </w:t>
      </w:r>
    </w:p>
    <w:p w14:paraId="17BEB1AF">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（1）至少配备1名取得国家执业医师资格的眼科临床医生，执业地点注册在本机构；至少配备1名视力康复专业技术人员；至少配备1名光学验配专业技术人员。</w:t>
      </w:r>
    </w:p>
    <w:p w14:paraId="09B34A2A">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（2）上述三种专业技术人员（有相应资质证书）均应在本单位缴纳社会保险，均应取得健康证明，与在训儿童比例不低于1：10。</w:t>
      </w:r>
    </w:p>
    <w:p w14:paraId="3E30DA97">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bookmarkStart w:id="255" w:name="OLE_LINK34"/>
      <w:bookmarkStart w:id="256" w:name="OLE_LINK33"/>
      <w:r>
        <w:rPr>
          <w:rFonts w:hint="eastAsia" w:cs="宋体" w:asciiTheme="minorEastAsia" w:hAnsiTheme="minorEastAsia" w:eastAsiaTheme="minorEastAsia"/>
          <w:color w:val="auto"/>
          <w:sz w:val="24"/>
          <w:szCs w:val="24"/>
          <w:highlight w:val="none"/>
        </w:rPr>
        <w:t>以上需求，请提供《项目人员配置清单》和</w:t>
      </w:r>
      <w:bookmarkStart w:id="257" w:name="OLE_LINK35"/>
      <w:r>
        <w:rPr>
          <w:rFonts w:hint="eastAsia" w:cs="宋体" w:asciiTheme="minorEastAsia" w:hAnsiTheme="minorEastAsia" w:eastAsiaTheme="minorEastAsia"/>
          <w:color w:val="auto"/>
          <w:sz w:val="24"/>
          <w:szCs w:val="24"/>
          <w:highlight w:val="none"/>
        </w:rPr>
        <w:t>《在训儿童清单》</w:t>
      </w:r>
      <w:bookmarkEnd w:id="257"/>
      <w:r>
        <w:rPr>
          <w:rFonts w:hint="eastAsia" w:cs="宋体" w:asciiTheme="minorEastAsia" w:hAnsiTheme="minorEastAsia" w:eastAsiaTheme="minorEastAsia"/>
          <w:color w:val="auto"/>
          <w:sz w:val="24"/>
          <w:szCs w:val="24"/>
          <w:highlight w:val="none"/>
        </w:rPr>
        <w:t>（格式见附件1、2），并按要求提供证明材料（人员资格证书、申请人近三个月中任意一个月份（不含投标当月）为其缴纳社保的证明、健康检查合格证明或体检报告，公办机构的编外劳务派遣专业技术人员的另需提供第三方劳务派遣协议等证明资料），同时申请其他类别的，项目人员配置不得重复。</w:t>
      </w:r>
    </w:p>
    <w:bookmarkEnd w:id="255"/>
    <w:bookmarkEnd w:id="256"/>
    <w:p w14:paraId="733EA892">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5.</w:t>
      </w:r>
      <w:r>
        <w:rPr>
          <w:rFonts w:hint="eastAsia" w:cs="宋体" w:asciiTheme="minorEastAsia" w:hAnsiTheme="minorEastAsia" w:eastAsiaTheme="minorEastAsia"/>
          <w:color w:val="auto"/>
          <w:sz w:val="24"/>
          <w:szCs w:val="24"/>
          <w:highlight w:val="none"/>
        </w:rPr>
        <w:t>服务能力：</w:t>
      </w:r>
    </w:p>
    <w:p w14:paraId="45D5E173">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）目前在训或投标前1年内训练周期不少于3个月的视力障碍儿童不少于</w:t>
      </w:r>
      <w:r>
        <w:rPr>
          <w:rFonts w:hint="eastAsia" w:cs="宋体" w:asciiTheme="minorEastAsia" w:hAnsiTheme="minorEastAsia" w:eastAsiaTheme="minorEastAsia"/>
          <w:b/>
          <w:bCs/>
          <w:color w:val="auto"/>
          <w:sz w:val="24"/>
          <w:szCs w:val="24"/>
          <w:highlight w:val="none"/>
        </w:rPr>
        <w:t>3名</w:t>
      </w:r>
      <w:r>
        <w:rPr>
          <w:rFonts w:hint="eastAsia" w:cs="宋体" w:asciiTheme="minorEastAsia" w:hAnsiTheme="minorEastAsia" w:eastAsiaTheme="minorEastAsia"/>
          <w:color w:val="auto"/>
          <w:sz w:val="24"/>
          <w:szCs w:val="24"/>
          <w:highlight w:val="none"/>
        </w:rPr>
        <w:t>（提供《在训儿童清单》，每名儿童均需出具三级医疗机构出具的医疗诊断书（诊断明确为低视力、弱视、斜视等视力障碍）或视力残疾人证，已纳入康复救助的在训儿童可以无锡市残联信息系统康复救助审核通过的截图代替。</w:t>
      </w:r>
    </w:p>
    <w:p w14:paraId="3936CEB9">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能提供以下训练内容：感知觉训练（包括但不仅限于听觉、触觉、嗅觉和味觉训练）、视功能训练（包括但不仅限于视觉注视、视觉追踪、视觉辩认、视觉搜寻、视觉记忆训练）、定向技能及行走训练（包括但不仅限于定向技能、行走技巧、导盲随行训练）、生活适应能力训练（包括但不仅限于生活自理和社会适应能力训练）（每种训练内容至少提供2张不同训练情境的照片并匹配文字）；</w:t>
      </w:r>
    </w:p>
    <w:p w14:paraId="06A54FCD">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3</w:t>
      </w:r>
      <w:r>
        <w:rPr>
          <w:rFonts w:hint="eastAsia" w:cs="宋体" w:asciiTheme="minorEastAsia" w:hAnsiTheme="minorEastAsia" w:eastAsiaTheme="minorEastAsia"/>
          <w:color w:val="auto"/>
          <w:sz w:val="24"/>
          <w:szCs w:val="24"/>
          <w:highlight w:val="none"/>
        </w:rPr>
        <w:t>）至少提供</w:t>
      </w: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份完整的基本康复训练档案，包括康复服务登记表、初始状态评估表、康复训练计划、康复训练记录或康复训练日志、阶段性评估表（至少每半年一次）、训练出勤表（缺一不可）；</w:t>
      </w:r>
    </w:p>
    <w:p w14:paraId="0EF30E9E">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szCs w:val="24"/>
          <w:highlight w:val="none"/>
        </w:rPr>
        <w:t>）社会融合活动每季度</w:t>
      </w: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次，每次不少于1小时；</w:t>
      </w:r>
    </w:p>
    <w:p w14:paraId="1D847E25">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5</w:t>
      </w:r>
      <w:r>
        <w:rPr>
          <w:rFonts w:hint="eastAsia" w:cs="宋体" w:asciiTheme="minorEastAsia" w:hAnsiTheme="minorEastAsia" w:eastAsiaTheme="minorEastAsia"/>
          <w:color w:val="auto"/>
          <w:sz w:val="24"/>
          <w:szCs w:val="24"/>
          <w:highlight w:val="none"/>
        </w:rPr>
        <w:t>）定期向家长提供每年不少于</w:t>
      </w:r>
      <w:r>
        <w:rPr>
          <w:rFonts w:hint="eastAsia"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szCs w:val="24"/>
          <w:highlight w:val="none"/>
        </w:rPr>
        <w:t>次的相关培训，并有书面和视频记录；</w:t>
      </w:r>
    </w:p>
    <w:p w14:paraId="7EE81480">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6</w:t>
      </w:r>
      <w:r>
        <w:rPr>
          <w:rFonts w:hint="eastAsia" w:cs="宋体" w:asciiTheme="minorEastAsia" w:hAnsiTheme="minorEastAsia" w:eastAsiaTheme="minorEastAsia"/>
          <w:color w:val="auto"/>
          <w:sz w:val="24"/>
          <w:szCs w:val="24"/>
          <w:highlight w:val="none"/>
        </w:rPr>
        <w:t>）结合</w:t>
      </w:r>
      <w:r>
        <w:rPr>
          <w:rFonts w:hint="eastAsia"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爱眼日</w:t>
      </w:r>
      <w:r>
        <w:rPr>
          <w:rFonts w:hint="eastAsia"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等专题日，开展或参与公益活动，每年不少于</w:t>
      </w:r>
      <w:r>
        <w:rPr>
          <w:rFonts w:hint="eastAsia"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次。</w:t>
      </w:r>
    </w:p>
    <w:p w14:paraId="2867622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以上（4）~（6）条为征集人对入围供应商进行服务质量评估时的必要内容。</w:t>
      </w:r>
    </w:p>
    <w:p w14:paraId="212CF1A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 </w:t>
      </w:r>
      <w:r>
        <w:rPr>
          <w:rFonts w:hint="eastAsia" w:cs="宋体" w:asciiTheme="minorEastAsia" w:hAnsiTheme="minorEastAsia" w:eastAsiaTheme="minorEastAsia"/>
          <w:color w:val="auto"/>
          <w:sz w:val="24"/>
          <w:szCs w:val="24"/>
          <w:highlight w:val="none"/>
        </w:rPr>
        <w:t>制度管理：具备岗位职责、业务管理、突发事件应急预案等内控制度，服务项目等信息向服务对象公示（提供照片、文字资料）。</w:t>
      </w:r>
    </w:p>
    <w:p w14:paraId="543F165D">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7.</w:t>
      </w:r>
      <w:r>
        <w:rPr>
          <w:rFonts w:hint="eastAsia" w:cs="宋体" w:asciiTheme="minorEastAsia" w:hAnsiTheme="minorEastAsia" w:eastAsiaTheme="minorEastAsia"/>
          <w:color w:val="auto"/>
          <w:sz w:val="24"/>
          <w:szCs w:val="24"/>
          <w:highlight w:val="none"/>
        </w:rPr>
        <w:t>服务计费：按医疗机构康复服务项目标准提供服务（提供视力康复项目收费价目表一份，并作为经费结算依据（格式见附件3）。</w:t>
      </w:r>
    </w:p>
    <w:p w14:paraId="1349DC4F">
      <w:pPr>
        <w:overflowPunct w:val="0"/>
        <w:topLinePunct/>
        <w:spacing w:line="520" w:lineRule="exact"/>
        <w:ind w:firstLine="480" w:firstLineChars="200"/>
        <w:rPr>
          <w:rFonts w:asciiTheme="minorEastAsia" w:hAnsiTheme="minorEastAsia" w:eastAsiaTheme="minorEastAsia"/>
          <w:color w:val="auto"/>
          <w:sz w:val="24"/>
          <w:szCs w:val="24"/>
          <w:highlight w:val="none"/>
        </w:rPr>
      </w:pPr>
      <w:bookmarkStart w:id="258" w:name="OLE_LINK38"/>
      <w:bookmarkStart w:id="259" w:name="OLE_LINK39"/>
      <w:r>
        <w:rPr>
          <w:rFonts w:hint="eastAsia" w:asciiTheme="minorEastAsia" w:hAnsiTheme="minorEastAsia" w:eastAsiaTheme="minorEastAsia"/>
          <w:color w:val="auto"/>
          <w:sz w:val="24"/>
          <w:szCs w:val="24"/>
          <w:highlight w:val="none"/>
        </w:rPr>
        <w:t>8.</w:t>
      </w:r>
      <w:r>
        <w:rPr>
          <w:rFonts w:hint="eastAsia" w:cs="宋体" w:asciiTheme="minorEastAsia" w:hAnsiTheme="minorEastAsia" w:eastAsiaTheme="minorEastAsia"/>
          <w:color w:val="auto"/>
          <w:sz w:val="24"/>
          <w:szCs w:val="24"/>
          <w:highlight w:val="none"/>
        </w:rPr>
        <w:t>提供视力残疾儿童基本康复训练服务的具体实施方案一份。</w:t>
      </w:r>
    </w:p>
    <w:bookmarkEnd w:id="258"/>
    <w:bookmarkEnd w:id="259"/>
    <w:p w14:paraId="1395731B">
      <w:pPr>
        <w:overflowPunct w:val="0"/>
        <w:topLinePunct/>
        <w:spacing w:line="520" w:lineRule="exact"/>
        <w:jc w:val="center"/>
        <w:rPr>
          <w:rFonts w:cs="宋体"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采购包二</w:t>
      </w:r>
      <w:r>
        <w:rPr>
          <w:rFonts w:hint="eastAsia" w:cs="宋体" w:asciiTheme="minorEastAsia" w:hAnsiTheme="minorEastAsia" w:eastAsiaTheme="minorEastAsia"/>
          <w:b/>
          <w:bCs/>
          <w:color w:val="auto"/>
          <w:sz w:val="24"/>
          <w:szCs w:val="24"/>
          <w:highlight w:val="none"/>
        </w:rPr>
        <w:t>：听力（言语）残疾儿童基本康复训练服务采购需求</w:t>
      </w:r>
    </w:p>
    <w:p w14:paraId="676D9352">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1.建设要求：本地训练场所应在三层及以下的非地下室，符合国家无障碍通行要求（提供房产证或租赁协议，若为租赁协议另需提供房主房产证或其他有效的产权证明，外部环境和内部场所照片及介绍文字）；</w:t>
      </w:r>
    </w:p>
    <w:p w14:paraId="71B999B0">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 训练场地（提供场所平面图并标注出各种功能室，提供各功能室及必须设备的照片）：</w:t>
      </w:r>
    </w:p>
    <w:p w14:paraId="7849DA2A">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（1）设置至少1间测听室，面积不少于6平方米；</w:t>
      </w:r>
    </w:p>
    <w:p w14:paraId="44436662">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（2）设置至少1间个训教室，每间面积不少于8平方米，室内配有听能检测保养包；</w:t>
      </w:r>
    </w:p>
    <w:p w14:paraId="68BB9172">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（3）设置至少1间集体教室；</w:t>
      </w:r>
    </w:p>
    <w:p w14:paraId="7EC7A611">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上述业务用房面积不少于建筑总面积的60%，总建筑面积不少于80平方米。 </w:t>
      </w:r>
    </w:p>
    <w:p w14:paraId="4C3ACA58">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（4）有独立的室外活动场地，设有安全提示标志和安全设施，确保无安全隐患。</w:t>
      </w:r>
    </w:p>
    <w:p w14:paraId="067168AA">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 训练设备（提供清单及使用过程中的照片）：</w:t>
      </w:r>
    </w:p>
    <w:p w14:paraId="47C8FB4D">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（1）康复评估设备：包括听觉言语康复评估工具、言语听觉反应评估工具、希－内学习能力测验、格雷费斯智力测验、言语功能评估仪等，至少配备2种；</w:t>
      </w:r>
    </w:p>
    <w:p w14:paraId="045DA5FF">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（2）听力学设备：听能保养包、助听器保养工具、听力计、视觉强化测听设备、听觉评估仪、测听玩具、电耳镜、简易声级计等；</w:t>
      </w:r>
    </w:p>
    <w:p w14:paraId="17B5E621">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康复训练与教学设备：打击乐器、可发声玩教具、言语康复训练系统用品用具、听觉干预系统用品用具、电脑、电视机、投影仪、电子琴（钢琴）、幼儿园教材、听力（言语）残疾儿童康复训练系列教材、教育类图书、体育活动器材等。配备适合听力障碍儿童特点的教玩具，至少配备80件符合听力障碍儿童训练特点的各类玩具和图书。</w:t>
      </w:r>
    </w:p>
    <w:p w14:paraId="384A4632">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4．人员配备：</w:t>
      </w:r>
    </w:p>
    <w:p w14:paraId="1473CD93">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（1）至少配备</w:t>
      </w: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名业务主管；</w:t>
      </w:r>
    </w:p>
    <w:p w14:paraId="39A238F9">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（2）医疗类机构：至少配备1名耳鼻喉科执业医生，执业地点注册在本机构，至少配备2名听力言语康复治疗师或教师；</w:t>
      </w:r>
    </w:p>
    <w:p w14:paraId="1F70879E">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教育类机构：至少配备1名听能康复服务人员，至少配备2名听觉口语康复教师或学前教育老师或特殊教育教师；</w:t>
      </w:r>
    </w:p>
    <w:p w14:paraId="3B0F861A">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（3）上述专业技术人员均应在本单位缴纳社会保险，均应取得健康证明。</w:t>
      </w:r>
    </w:p>
    <w:p w14:paraId="5D9854C8">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以上需求，请提供《项目人员配置清单》（见附件1），并按要求提供证明材料（人员资格证书、申请人近三个月中任意一个月份（不含投标当月）为其缴纳社保的证明、健康检查合格证明或体检报告，公办机构的编外劳务派遣专业技术人员的另需提供第三方劳务派遣协议等证明资料），同时申请其他类别的，项目人员配置不得重复。</w:t>
      </w:r>
    </w:p>
    <w:p w14:paraId="37F9657B">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5．服务能力：</w:t>
      </w:r>
    </w:p>
    <w:p w14:paraId="75B6FDF1">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）能提供以下训练内容：包括但不仅限于听力测试、助听器验配和调试、人工耳蜗调试、辅听设备选配、听觉言语功能训练等（至少提供4张不同训练情境的照片并匹配文字）；</w:t>
      </w:r>
    </w:p>
    <w:p w14:paraId="0838F3BA">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）至少提供1份完整的基本康复训练档案，包括康复服务登记表、初始状态评估表、康复训练计划、康复训练记录或康复训练日志、阶段性评估表（至少每半年一次）、训练出勤表；</w:t>
      </w:r>
    </w:p>
    <w:p w14:paraId="0BEACCB6">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（3）为家长提供家庭康复指导、心理辅导、政策咨询、生育遗传咨询指导服务，收训第一年每月至少进行2次，每次不少于30分钟，收训第二、三年每季度至少2次，每次不少于30分钟；</w:t>
      </w:r>
    </w:p>
    <w:p w14:paraId="49BC270D">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（4）社会融合活动每季度1次，每次不少于1小时；</w:t>
      </w:r>
    </w:p>
    <w:p w14:paraId="5232FBC2">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（5）定期向家长提供每年不少于4次的相关培训，并有书面和视频记录；</w:t>
      </w:r>
    </w:p>
    <w:p w14:paraId="08F119BF">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（6）结合“爱耳日”等专题日，开展或参与公益活动，每年不少于2次。</w:t>
      </w:r>
    </w:p>
    <w:p w14:paraId="247566D1">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以上（3）~（6）条为征集人对入围供应商进行服务质量评估时的必要内容。</w:t>
      </w:r>
    </w:p>
    <w:p w14:paraId="46F61CC4">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 </w:t>
      </w:r>
      <w:r>
        <w:rPr>
          <w:rFonts w:hint="eastAsia" w:cs="宋体" w:asciiTheme="minorEastAsia" w:hAnsiTheme="minorEastAsia" w:eastAsiaTheme="minorEastAsia"/>
          <w:color w:val="auto"/>
          <w:sz w:val="24"/>
          <w:szCs w:val="24"/>
          <w:highlight w:val="none"/>
        </w:rPr>
        <w:t>制度管理：具备岗位职责、业务管理、突发事件应急预案等内控制度，服务项目等信息向服务对象公示（提供照片、文字资料）。</w:t>
      </w:r>
    </w:p>
    <w:p w14:paraId="6ABA77EC">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7.服务计费与时间：</w:t>
      </w:r>
    </w:p>
    <w:p w14:paraId="0E97881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（1）医疗类机构：按医疗机构康复服务项目标准提供服务（提供听力康复项目收费价目表一份，并作为经费结算依据）（格式见附件3）；</w:t>
      </w:r>
    </w:p>
    <w:p w14:paraId="664C3DF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（2）教育类机构：</w:t>
      </w:r>
      <w:r>
        <w:rPr>
          <w:rFonts w:hint="eastAsia" w:cs="宋体" w:asciiTheme="minorEastAsia" w:hAnsiTheme="minorEastAsia" w:eastAsiaTheme="minorEastAsia"/>
          <w:b/>
          <w:bCs/>
          <w:color w:val="auto"/>
          <w:sz w:val="24"/>
          <w:szCs w:val="24"/>
          <w:highlight w:val="none"/>
        </w:rPr>
        <w:t>全日制形式</w:t>
      </w:r>
      <w:r>
        <w:rPr>
          <w:rFonts w:hint="eastAsia" w:cs="宋体" w:asciiTheme="minorEastAsia" w:hAnsiTheme="minorEastAsia" w:eastAsiaTheme="minorEastAsia"/>
          <w:color w:val="auto"/>
          <w:sz w:val="24"/>
          <w:szCs w:val="24"/>
          <w:highlight w:val="none"/>
        </w:rPr>
        <w:t>，在当月法定工作（学习）日，接受每天不少于</w:t>
      </w:r>
      <w:r>
        <w:rPr>
          <w:rFonts w:cs="宋体"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szCs w:val="24"/>
          <w:highlight w:val="none"/>
        </w:rPr>
        <w:t>小时的基本康复训练课程，同时在机构接受包括课间、一餐两点、午休等一日生活安排在内的服务，在机构时间一般不少于</w:t>
      </w:r>
      <w:r>
        <w:rPr>
          <w:rFonts w:cs="宋体" w:asciiTheme="minorEastAsia" w:hAnsiTheme="minorEastAsia" w:eastAsiaTheme="minorEastAsia"/>
          <w:color w:val="auto"/>
          <w:sz w:val="24"/>
          <w:szCs w:val="24"/>
          <w:highlight w:val="none"/>
        </w:rPr>
        <w:t>7</w:t>
      </w:r>
      <w:r>
        <w:rPr>
          <w:rFonts w:hint="eastAsia" w:cs="宋体" w:asciiTheme="minorEastAsia" w:hAnsiTheme="minorEastAsia" w:eastAsiaTheme="minorEastAsia"/>
          <w:color w:val="auto"/>
          <w:sz w:val="24"/>
          <w:szCs w:val="24"/>
          <w:highlight w:val="none"/>
        </w:rPr>
        <w:t>小时；</w:t>
      </w:r>
      <w:r>
        <w:rPr>
          <w:rFonts w:hint="eastAsia" w:cs="宋体" w:asciiTheme="minorEastAsia" w:hAnsiTheme="minorEastAsia" w:eastAsiaTheme="minorEastAsia"/>
          <w:b/>
          <w:bCs/>
          <w:color w:val="auto"/>
          <w:sz w:val="24"/>
          <w:szCs w:val="24"/>
          <w:highlight w:val="none"/>
        </w:rPr>
        <w:t>半日制</w:t>
      </w:r>
      <w:r>
        <w:rPr>
          <w:rFonts w:hint="eastAsia" w:cs="宋体" w:asciiTheme="minorEastAsia" w:hAnsiTheme="minorEastAsia" w:eastAsiaTheme="minorEastAsia"/>
          <w:color w:val="auto"/>
          <w:sz w:val="24"/>
          <w:szCs w:val="24"/>
          <w:highlight w:val="none"/>
        </w:rPr>
        <w:t>，在当月法定工作（学习）日接受每天不少于</w:t>
      </w:r>
      <w:r>
        <w:rPr>
          <w:rFonts w:cs="宋体"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小时的基本康复训练课程，在机构时间一般不少于</w:t>
      </w:r>
      <w:r>
        <w:rPr>
          <w:rFonts w:cs="宋体" w:asciiTheme="minorEastAsia" w:hAnsiTheme="minorEastAsia" w:eastAsiaTheme="minorEastAsia"/>
          <w:color w:val="auto"/>
          <w:sz w:val="24"/>
          <w:szCs w:val="24"/>
          <w:highlight w:val="none"/>
        </w:rPr>
        <w:t>3</w:t>
      </w:r>
      <w:r>
        <w:rPr>
          <w:rFonts w:hint="eastAsia" w:cs="宋体" w:asciiTheme="minorEastAsia" w:hAnsiTheme="minorEastAsia" w:eastAsiaTheme="minorEastAsia"/>
          <w:color w:val="auto"/>
          <w:sz w:val="24"/>
          <w:szCs w:val="24"/>
          <w:highlight w:val="none"/>
        </w:rPr>
        <w:t>小时，个性化服务支持每天不少于</w:t>
      </w: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节课</w:t>
      </w:r>
      <w:r>
        <w:rPr>
          <w:rFonts w:cs="宋体" w:asciiTheme="minorEastAsia" w:hAnsiTheme="minorEastAsia" w:eastAsiaTheme="minorEastAsia"/>
          <w:color w:val="auto"/>
          <w:sz w:val="24"/>
          <w:szCs w:val="24"/>
          <w:highlight w:val="none"/>
        </w:rPr>
        <w:t>30</w:t>
      </w:r>
      <w:r>
        <w:rPr>
          <w:rFonts w:hint="eastAsia" w:cs="宋体" w:asciiTheme="minorEastAsia" w:hAnsiTheme="minorEastAsia" w:eastAsiaTheme="minorEastAsia"/>
          <w:color w:val="auto"/>
          <w:sz w:val="24"/>
          <w:szCs w:val="24"/>
          <w:highlight w:val="none"/>
        </w:rPr>
        <w:t>分钟，机构不安排餐食和午休，其余活动安排与全日制一致；</w:t>
      </w:r>
      <w:r>
        <w:rPr>
          <w:rFonts w:hint="eastAsia" w:cs="宋体" w:asciiTheme="minorEastAsia" w:hAnsiTheme="minorEastAsia" w:eastAsiaTheme="minorEastAsia"/>
          <w:b/>
          <w:bCs/>
          <w:color w:val="auto"/>
          <w:sz w:val="24"/>
          <w:szCs w:val="24"/>
          <w:highlight w:val="none"/>
        </w:rPr>
        <w:t>课程制</w:t>
      </w:r>
      <w:r>
        <w:rPr>
          <w:rFonts w:hint="eastAsia" w:cs="宋体" w:asciiTheme="minorEastAsia" w:hAnsiTheme="minorEastAsia" w:eastAsiaTheme="minorEastAsia"/>
          <w:color w:val="auto"/>
          <w:sz w:val="24"/>
          <w:szCs w:val="24"/>
          <w:highlight w:val="none"/>
        </w:rPr>
        <w:t>，在课余时间（含周末及节假日）接受每次</w:t>
      </w: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小时（不含课间休息和家长沟通时间）的基本康复训练课程，以个性化服务支持为主。服务时间如有新政策文件，按新政策文件执行。（本条为征集人对入围供应商进行服务质量评估时的必要内容）</w:t>
      </w:r>
    </w:p>
    <w:p w14:paraId="15F1BFEA">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8. 提供听力（言语）残疾儿童基本康复训练服务的具体实施方案一份。</w:t>
      </w:r>
    </w:p>
    <w:p w14:paraId="6C938239">
      <w:pPr>
        <w:overflowPunct w:val="0"/>
        <w:topLinePunct/>
        <w:spacing w:line="520" w:lineRule="exact"/>
        <w:jc w:val="center"/>
        <w:rPr>
          <w:rFonts w:asciiTheme="minorEastAsia" w:hAnsiTheme="minorEastAsia" w:eastAsiaTheme="minorEastAsia"/>
          <w:b/>
          <w:bCs/>
          <w:color w:val="auto"/>
          <w:sz w:val="24"/>
          <w:szCs w:val="24"/>
          <w:highlight w:val="none"/>
        </w:rPr>
      </w:pPr>
      <w:bookmarkStart w:id="260" w:name="_Hlk206191107"/>
    </w:p>
    <w:p w14:paraId="4B43709C">
      <w:pPr>
        <w:overflowPunct w:val="0"/>
        <w:topLinePunct/>
        <w:spacing w:line="520" w:lineRule="exact"/>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采购包三</w:t>
      </w:r>
      <w:r>
        <w:rPr>
          <w:rFonts w:hint="eastAsia" w:cs="宋体" w:asciiTheme="minorEastAsia" w:hAnsiTheme="minorEastAsia" w:eastAsiaTheme="minorEastAsia"/>
          <w:b/>
          <w:bCs/>
          <w:color w:val="auto"/>
          <w:sz w:val="24"/>
          <w:szCs w:val="24"/>
          <w:highlight w:val="none"/>
        </w:rPr>
        <w:t>：肢体（脑瘫）残疾儿童基本康复训练服务采购需求</w:t>
      </w:r>
    </w:p>
    <w:p w14:paraId="7543FD3D">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建设要求：本地训练场所应在三层及以下的非地下室，建筑面积不小于100平方米，符合国家无障碍通行要求（提供房产证或租赁协议，若为租赁协议另需提供房主房产证或其他有效的产权证明，外部环境和内部场所照片及介绍文字）</w:t>
      </w:r>
    </w:p>
    <w:p w14:paraId="4C5714EE">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 训练场地（提供场所平面图并标注出各种功能室，提供各功能室照片）：</w:t>
      </w:r>
    </w:p>
    <w:p w14:paraId="43CACD6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（1）设置至少1间咨询接待室（不少于10平方米）和1间功能评估室（不少于15平方米）；</w:t>
      </w:r>
    </w:p>
    <w:p w14:paraId="56367AD9">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（2）设置至少1间运动训练室（不少于40平方米）和至少1间作业训练室（不少于30平方米）；</w:t>
      </w:r>
    </w:p>
    <w:p w14:paraId="0313CAE6">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（3）设置至少1间集体教室（不少于30平方米）；</w:t>
      </w:r>
    </w:p>
    <w:p w14:paraId="295B9AE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（4）有独立的室外活动场地，设有安全提示标志和安全设施，确保无安全隐患。</w:t>
      </w:r>
    </w:p>
    <w:p w14:paraId="3A5205A8">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 训练设备（提供清单及使用过程中的照片）：</w:t>
      </w:r>
    </w:p>
    <w:p w14:paraId="77AFCCED">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（1）康复评估设备：包括评估运动、认知、言语、生活自理等方面能力的评估量表、诊断评估设备和工具；</w:t>
      </w:r>
    </w:p>
    <w:p w14:paraId="2E55AA91">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（2）康复训练设备：配备运动垫、</w:t>
      </w:r>
      <w:r>
        <w:rPr>
          <w:rFonts w:cs="宋体" w:asciiTheme="minorEastAsia" w:hAnsiTheme="minorEastAsia" w:eastAsiaTheme="minorEastAsia"/>
          <w:color w:val="auto"/>
          <w:sz w:val="24"/>
          <w:szCs w:val="24"/>
          <w:highlight w:val="none"/>
        </w:rPr>
        <w:t>PT</w:t>
      </w:r>
      <w:r>
        <w:rPr>
          <w:rFonts w:hint="eastAsia" w:cs="宋体" w:asciiTheme="minorEastAsia" w:hAnsiTheme="minorEastAsia" w:eastAsiaTheme="minorEastAsia"/>
          <w:color w:val="auto"/>
          <w:sz w:val="24"/>
          <w:szCs w:val="24"/>
          <w:highlight w:val="none"/>
        </w:rPr>
        <w:t>床、木条台、楔形垫、巴氏球、滚筒、姿势矫正器、分指等基本训练器具；配备站立架、起立架、踝关节矫正站立板、肋木等站立训练器具；配备平衡木、步行器、阶梯、姿势镜、多功能组合箱等步行训练器具。</w:t>
      </w:r>
    </w:p>
    <w:p w14:paraId="277D49EE">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（3）教学设备：配备打击乐器、玩教具、电脑、电视机、投影仪、电子琴（钢琴）、幼儿园教材、教育类图书、体育活动器材、生活自助器具等；配备至少80件各类玩具和图书。</w:t>
      </w:r>
    </w:p>
    <w:p w14:paraId="0C89ED5B">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4．人员配备：</w:t>
      </w:r>
    </w:p>
    <w:p w14:paraId="226370E3">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配备机构管理人员（业务主管）1人（具有康复医学与理疗学、儿科、中医或中西医结合等相关专业本科以上学历，三年以上机构管理工作经验（管理工作经验以各机构在《项目人员配置清单》中填写内容为准）；</w:t>
      </w:r>
    </w:p>
    <w:p w14:paraId="5BEE6A1D">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（2）至少配备1名康复医师（具有康复医学与理疗学、儿科、中医或中西医结合专业背景并取得国家医师资格证书并注册在本机构）；</w:t>
      </w:r>
    </w:p>
    <w:p w14:paraId="6469B678">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至少配备2名康复治疗师（具有医疗、康复、护理相关专业背景并取得相应执业资格）；教育类机构还须配备康复教师（具有特殊教育、学前教育、心理学等相关专业背景大专以上学历，并取得教师资格证）；</w:t>
      </w:r>
    </w:p>
    <w:p w14:paraId="468A14ED">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（4）上述专业技术人员均应取得相应专业大专以上学历，取得资格证书等相应资质，并在本单位缴纳社会保险，均应取得健康证明；</w:t>
      </w:r>
    </w:p>
    <w:p w14:paraId="3A51A130">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（5）肢体康复医师与在训儿童比例不低于1：20，肢体康复治疗师与在训儿童比例不低于1：8；教育类机构康复教师与残疾儿童比例不低于1：10。</w:t>
      </w:r>
    </w:p>
    <w:p w14:paraId="68A18727">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以上需求，请提供《项目人员配置清单》和《在训儿童清单》（格式见附件1、2），并按要求提供证明材料（人员学历证书（或学信网相关查询记录）、管理工作经验以各机构在《项目人员配置清单》中填写内容为准、资格证书、申请人近三个月中任意一个月份（不含征集当月）为其缴纳社保的证明、健康检查合格证明或体检报告，公办机构的编外劳务派遣专业技术人员的另需提供第三方劳务派遣协议等证明资料），同时申请其他类别的，项目人员配置不得重复。</w:t>
      </w:r>
    </w:p>
    <w:p w14:paraId="17CABF68">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 </w:t>
      </w:r>
      <w:r>
        <w:rPr>
          <w:rFonts w:hint="eastAsia" w:cs="宋体" w:asciiTheme="minorEastAsia" w:hAnsiTheme="minorEastAsia" w:eastAsiaTheme="minorEastAsia"/>
          <w:color w:val="auto"/>
          <w:sz w:val="24"/>
          <w:szCs w:val="24"/>
          <w:highlight w:val="none"/>
        </w:rPr>
        <w:t>服务能力：</w:t>
      </w:r>
    </w:p>
    <w:p w14:paraId="581DC342">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）目前在训或投标前1年内训练周期不少于3个月的肢体（脑瘫）残疾儿童不少于</w:t>
      </w:r>
      <w:r>
        <w:rPr>
          <w:rFonts w:hint="eastAsia" w:asciiTheme="minorEastAsia" w:hAnsiTheme="minorEastAsia" w:eastAsiaTheme="minorEastAsia"/>
          <w:color w:val="auto"/>
          <w:sz w:val="24"/>
          <w:szCs w:val="24"/>
          <w:highlight w:val="none"/>
        </w:rPr>
        <w:t>10</w:t>
      </w:r>
      <w:r>
        <w:rPr>
          <w:rFonts w:hint="eastAsia" w:cs="宋体" w:asciiTheme="minorEastAsia" w:hAnsiTheme="minorEastAsia" w:eastAsiaTheme="minorEastAsia"/>
          <w:color w:val="auto"/>
          <w:sz w:val="24"/>
          <w:szCs w:val="24"/>
          <w:highlight w:val="none"/>
        </w:rPr>
        <w:t>名（提供《在训儿童清单》（格式见附件</w:t>
      </w:r>
      <w:r>
        <w:rPr>
          <w:rFonts w:cs="宋体"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每名儿童均需出具三级医疗机构出具的医疗诊断书（诊断明确为因病导致肢体功能障碍、发育迟缓或脑瘫）或肢体残疾人证，已纳入康复救助的在训儿童可以无锡市残联信息系统康复救助审核通过的截图代替）；</w:t>
      </w:r>
    </w:p>
    <w:p w14:paraId="08D8A9F3">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）能至少提供以下训练内容：粗大运动和精细运动功能训练、认知和语言能力训练、生活自理和社会适应能力训练（至少提供</w:t>
      </w:r>
      <w:r>
        <w:rPr>
          <w:rFonts w:hint="eastAsia" w:asciiTheme="minorEastAsia" w:hAnsiTheme="minorEastAsia" w:eastAsiaTheme="minorEastAsia"/>
          <w:color w:val="auto"/>
          <w:sz w:val="24"/>
          <w:szCs w:val="24"/>
          <w:highlight w:val="none"/>
        </w:rPr>
        <w:t>6</w:t>
      </w:r>
      <w:r>
        <w:rPr>
          <w:rFonts w:hint="eastAsia" w:cs="宋体" w:asciiTheme="minorEastAsia" w:hAnsiTheme="minorEastAsia" w:eastAsiaTheme="minorEastAsia"/>
          <w:color w:val="auto"/>
          <w:sz w:val="24"/>
          <w:szCs w:val="24"/>
          <w:highlight w:val="none"/>
        </w:rPr>
        <w:t>张以上不同训练情境的照片并匹配文字）；</w:t>
      </w:r>
    </w:p>
    <w:p w14:paraId="7AFC8320">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3</w:t>
      </w:r>
      <w:r>
        <w:rPr>
          <w:rFonts w:hint="eastAsia" w:cs="宋体" w:asciiTheme="minorEastAsia" w:hAnsiTheme="minorEastAsia" w:eastAsiaTheme="minorEastAsia"/>
          <w:color w:val="auto"/>
          <w:sz w:val="24"/>
          <w:szCs w:val="24"/>
          <w:highlight w:val="none"/>
        </w:rPr>
        <w:t>）至少提供</w:t>
      </w: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份完整的基本康复训练档案，包括康复服务登记表、初始状态评估表、康复训练计划、康复训练记录或康复训练日志、阶段性评估表（至少每半年</w:t>
      </w: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次）、训练出勤表（缺一不可）；</w:t>
      </w:r>
    </w:p>
    <w:p w14:paraId="443F5723">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szCs w:val="24"/>
          <w:highlight w:val="none"/>
        </w:rPr>
        <w:t>）为家长提供家庭康复指导、心理辅导、政策咨询、知识普及等支持性服务，集中培训活动每月不少于</w:t>
      </w: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次，每次不少于</w:t>
      </w: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小时；</w:t>
      </w:r>
    </w:p>
    <w:p w14:paraId="4CFEC4F0">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5</w:t>
      </w:r>
      <w:r>
        <w:rPr>
          <w:rFonts w:hint="eastAsia" w:cs="宋体" w:asciiTheme="minorEastAsia" w:hAnsiTheme="minorEastAsia" w:eastAsiaTheme="minorEastAsia"/>
          <w:color w:val="auto"/>
          <w:sz w:val="24"/>
          <w:szCs w:val="24"/>
          <w:highlight w:val="none"/>
        </w:rPr>
        <w:t>）社会融合活动每季度</w:t>
      </w: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次，每次不少于1小时；</w:t>
      </w:r>
    </w:p>
    <w:p w14:paraId="64D60241">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6</w:t>
      </w:r>
      <w:r>
        <w:rPr>
          <w:rFonts w:hint="eastAsia" w:cs="宋体" w:asciiTheme="minorEastAsia" w:hAnsiTheme="minorEastAsia" w:eastAsiaTheme="minorEastAsia"/>
          <w:color w:val="auto"/>
          <w:sz w:val="24"/>
          <w:szCs w:val="24"/>
          <w:highlight w:val="none"/>
        </w:rPr>
        <w:t>）定期向家长提供每年不少于</w:t>
      </w:r>
      <w:r>
        <w:rPr>
          <w:rFonts w:hint="eastAsia"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szCs w:val="24"/>
          <w:highlight w:val="none"/>
        </w:rPr>
        <w:t>次的相关培训，并有书面和视频记录；</w:t>
      </w:r>
    </w:p>
    <w:p w14:paraId="01215401">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7</w:t>
      </w:r>
      <w:r>
        <w:rPr>
          <w:rFonts w:hint="eastAsia" w:cs="宋体" w:asciiTheme="minorEastAsia" w:hAnsiTheme="minorEastAsia" w:eastAsiaTheme="minorEastAsia"/>
          <w:color w:val="auto"/>
          <w:sz w:val="24"/>
          <w:szCs w:val="24"/>
          <w:highlight w:val="none"/>
        </w:rPr>
        <w:t>）结合</w:t>
      </w:r>
      <w:r>
        <w:rPr>
          <w:rFonts w:hint="eastAsia"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全国助残日</w:t>
      </w:r>
      <w:r>
        <w:rPr>
          <w:rFonts w:hint="eastAsia"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等专题日，开展或参与公益活动，每年不少于</w:t>
      </w:r>
      <w:r>
        <w:rPr>
          <w:rFonts w:hint="eastAsia"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次。</w:t>
      </w:r>
    </w:p>
    <w:p w14:paraId="76A05C6A">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以上（4）~（7）条为征集人对入围供应商进行服务质量评估时的必要内容。</w:t>
      </w:r>
    </w:p>
    <w:p w14:paraId="0106353D">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 制度管理：具备岗位职责、业务管理、突发事件应急预案等内控制度，服务项目等信息向服务对象公示（提供照片、文字资料）；</w:t>
      </w:r>
      <w:r>
        <w:rPr>
          <w:rFonts w:cs="宋体" w:asciiTheme="minorEastAsia" w:hAnsiTheme="minorEastAsia" w:eastAsiaTheme="minorEastAsia"/>
          <w:color w:val="auto"/>
          <w:sz w:val="24"/>
          <w:szCs w:val="24"/>
          <w:highlight w:val="none"/>
        </w:rPr>
        <w:t xml:space="preserve"> </w:t>
      </w:r>
    </w:p>
    <w:p w14:paraId="66352539">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7.</w:t>
      </w:r>
      <w:r>
        <w:rPr>
          <w:rFonts w:hint="eastAsia" w:cs="宋体" w:asciiTheme="minorEastAsia" w:hAnsiTheme="minorEastAsia" w:eastAsiaTheme="minorEastAsia"/>
          <w:color w:val="auto"/>
          <w:sz w:val="24"/>
          <w:szCs w:val="24"/>
          <w:highlight w:val="none"/>
        </w:rPr>
        <w:t xml:space="preserve"> 服务计费与时间：</w:t>
      </w:r>
    </w:p>
    <w:p w14:paraId="1FE1E12A">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）医疗类机构：按医疗机构康复服务项目标准提供服务（提供肢体康复项目收费价目表一份，并作为经费结算依据）（格式见附件3）；</w:t>
      </w:r>
    </w:p>
    <w:p w14:paraId="3787C4F3">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w:t>
      </w:r>
      <w:r>
        <w:rPr>
          <w:rFonts w:hint="eastAsia"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）教育类机构：</w:t>
      </w:r>
      <w:r>
        <w:rPr>
          <w:rFonts w:hint="eastAsia" w:cs="宋体" w:asciiTheme="minorEastAsia" w:hAnsiTheme="minorEastAsia" w:eastAsiaTheme="minorEastAsia"/>
          <w:b/>
          <w:bCs/>
          <w:color w:val="auto"/>
          <w:sz w:val="24"/>
          <w:szCs w:val="24"/>
          <w:highlight w:val="none"/>
        </w:rPr>
        <w:t>全日制，</w:t>
      </w:r>
      <w:r>
        <w:rPr>
          <w:rFonts w:hint="eastAsia" w:cs="宋体" w:asciiTheme="minorEastAsia" w:hAnsiTheme="minorEastAsia" w:eastAsiaTheme="minorEastAsia"/>
          <w:color w:val="auto"/>
          <w:sz w:val="24"/>
          <w:szCs w:val="24"/>
          <w:highlight w:val="none"/>
        </w:rPr>
        <w:t>在当月法定工作（学习）日，接受每天不少于</w:t>
      </w:r>
      <w:r>
        <w:rPr>
          <w:rFonts w:cs="宋体"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szCs w:val="24"/>
          <w:highlight w:val="none"/>
        </w:rPr>
        <w:t>小时的基本康复训练课程，同时在机构接受包括课间、一餐两点、午休等一日生活安排在内的服务，在机构时间一般不少于</w:t>
      </w:r>
      <w:r>
        <w:rPr>
          <w:rFonts w:cs="宋体" w:asciiTheme="minorEastAsia" w:hAnsiTheme="minorEastAsia" w:eastAsiaTheme="minorEastAsia"/>
          <w:color w:val="auto"/>
          <w:sz w:val="24"/>
          <w:szCs w:val="24"/>
          <w:highlight w:val="none"/>
        </w:rPr>
        <w:t>7</w:t>
      </w:r>
      <w:r>
        <w:rPr>
          <w:rFonts w:hint="eastAsia" w:cs="宋体" w:asciiTheme="minorEastAsia" w:hAnsiTheme="minorEastAsia" w:eastAsiaTheme="minorEastAsia"/>
          <w:color w:val="auto"/>
          <w:sz w:val="24"/>
          <w:szCs w:val="24"/>
          <w:highlight w:val="none"/>
        </w:rPr>
        <w:t>小时。</w:t>
      </w:r>
      <w:r>
        <w:rPr>
          <w:rFonts w:cs="宋体" w:asciiTheme="minorEastAsia" w:hAnsiTheme="minorEastAsia" w:eastAsiaTheme="minorEastAsia"/>
          <w:color w:val="auto"/>
          <w:sz w:val="24"/>
          <w:szCs w:val="24"/>
          <w:highlight w:val="none"/>
        </w:rPr>
        <w:t>7-17</w:t>
      </w:r>
      <w:r>
        <w:rPr>
          <w:rFonts w:hint="eastAsia" w:cs="宋体" w:asciiTheme="minorEastAsia" w:hAnsiTheme="minorEastAsia" w:eastAsiaTheme="minorEastAsia"/>
          <w:color w:val="auto"/>
          <w:sz w:val="24"/>
          <w:szCs w:val="24"/>
          <w:highlight w:val="none"/>
        </w:rPr>
        <w:t>周岁的肢体残疾儿童可根据实际情况调整训练课程和一日生活安排，在机构时间不少于</w:t>
      </w:r>
      <w:r>
        <w:rPr>
          <w:rFonts w:cs="宋体" w:asciiTheme="minorEastAsia" w:hAnsiTheme="minorEastAsia" w:eastAsiaTheme="minorEastAsia"/>
          <w:color w:val="auto"/>
          <w:sz w:val="24"/>
          <w:szCs w:val="24"/>
          <w:highlight w:val="none"/>
        </w:rPr>
        <w:t>5</w:t>
      </w:r>
      <w:r>
        <w:rPr>
          <w:rFonts w:hint="eastAsia" w:cs="宋体" w:asciiTheme="minorEastAsia" w:hAnsiTheme="minorEastAsia" w:eastAsiaTheme="minorEastAsia"/>
          <w:color w:val="auto"/>
          <w:sz w:val="24"/>
          <w:szCs w:val="24"/>
          <w:highlight w:val="none"/>
        </w:rPr>
        <w:t>小时，并包含午餐和午休；</w:t>
      </w:r>
      <w:r>
        <w:rPr>
          <w:rFonts w:hint="eastAsia" w:cs="宋体" w:asciiTheme="minorEastAsia" w:hAnsiTheme="minorEastAsia" w:eastAsiaTheme="minorEastAsia"/>
          <w:b/>
          <w:bCs/>
          <w:color w:val="auto"/>
          <w:sz w:val="24"/>
          <w:szCs w:val="24"/>
          <w:highlight w:val="none"/>
        </w:rPr>
        <w:t>半日制，</w:t>
      </w:r>
      <w:r>
        <w:rPr>
          <w:rFonts w:hint="eastAsia" w:cs="宋体" w:asciiTheme="minorEastAsia" w:hAnsiTheme="minorEastAsia" w:eastAsiaTheme="minorEastAsia"/>
          <w:color w:val="auto"/>
          <w:sz w:val="24"/>
          <w:szCs w:val="24"/>
          <w:highlight w:val="none"/>
        </w:rPr>
        <w:t>在当月法定工作（学习）日接受每天不少于</w:t>
      </w:r>
      <w:r>
        <w:rPr>
          <w:rFonts w:cs="宋体"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小时的基本康复训练课程，在机构时间一般不少于</w:t>
      </w:r>
      <w:r>
        <w:rPr>
          <w:rFonts w:cs="宋体" w:asciiTheme="minorEastAsia" w:hAnsiTheme="minorEastAsia" w:eastAsiaTheme="minorEastAsia"/>
          <w:color w:val="auto"/>
          <w:sz w:val="24"/>
          <w:szCs w:val="24"/>
          <w:highlight w:val="none"/>
        </w:rPr>
        <w:t>3</w:t>
      </w:r>
      <w:r>
        <w:rPr>
          <w:rFonts w:hint="eastAsia" w:cs="宋体" w:asciiTheme="minorEastAsia" w:hAnsiTheme="minorEastAsia" w:eastAsiaTheme="minorEastAsia"/>
          <w:color w:val="auto"/>
          <w:sz w:val="24"/>
          <w:szCs w:val="24"/>
          <w:highlight w:val="none"/>
        </w:rPr>
        <w:t>小时，个性化服务支持每天不少于</w:t>
      </w: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节课</w:t>
      </w:r>
      <w:r>
        <w:rPr>
          <w:rFonts w:cs="宋体" w:asciiTheme="minorEastAsia" w:hAnsiTheme="minorEastAsia" w:eastAsiaTheme="minorEastAsia"/>
          <w:color w:val="auto"/>
          <w:sz w:val="24"/>
          <w:szCs w:val="24"/>
          <w:highlight w:val="none"/>
        </w:rPr>
        <w:t>30</w:t>
      </w:r>
      <w:r>
        <w:rPr>
          <w:rFonts w:hint="eastAsia" w:cs="宋体" w:asciiTheme="minorEastAsia" w:hAnsiTheme="minorEastAsia" w:eastAsiaTheme="minorEastAsia"/>
          <w:color w:val="auto"/>
          <w:sz w:val="24"/>
          <w:szCs w:val="24"/>
          <w:highlight w:val="none"/>
        </w:rPr>
        <w:t>分钟，</w:t>
      </w:r>
      <w:r>
        <w:rPr>
          <w:rFonts w:cs="宋体" w:asciiTheme="minorEastAsia" w:hAnsiTheme="minorEastAsia" w:eastAsiaTheme="minorEastAsia"/>
          <w:color w:val="auto"/>
          <w:sz w:val="24"/>
          <w:szCs w:val="24"/>
          <w:highlight w:val="none"/>
        </w:rPr>
        <w:t>7-17</w:t>
      </w:r>
      <w:r>
        <w:rPr>
          <w:rFonts w:hint="eastAsia" w:cs="宋体" w:asciiTheme="minorEastAsia" w:hAnsiTheme="minorEastAsia" w:eastAsiaTheme="minorEastAsia"/>
          <w:color w:val="auto"/>
          <w:sz w:val="24"/>
          <w:szCs w:val="24"/>
          <w:highlight w:val="none"/>
        </w:rPr>
        <w:t>周岁的肢体残疾儿童的个性化服务支持可根据实际情况调整。机构不安排餐食和午休，其余活动安排与全日制一致；</w:t>
      </w:r>
      <w:r>
        <w:rPr>
          <w:rFonts w:hint="eastAsia" w:cs="宋体" w:asciiTheme="minorEastAsia" w:hAnsiTheme="minorEastAsia" w:eastAsiaTheme="minorEastAsia"/>
          <w:b/>
          <w:bCs/>
          <w:color w:val="auto"/>
          <w:sz w:val="24"/>
          <w:szCs w:val="24"/>
          <w:highlight w:val="none"/>
        </w:rPr>
        <w:t>课程制，</w:t>
      </w:r>
      <w:r>
        <w:rPr>
          <w:rFonts w:hint="eastAsia" w:cs="宋体" w:asciiTheme="minorEastAsia" w:hAnsiTheme="minorEastAsia" w:eastAsiaTheme="minorEastAsia"/>
          <w:color w:val="auto"/>
          <w:sz w:val="24"/>
          <w:szCs w:val="24"/>
          <w:highlight w:val="none"/>
        </w:rPr>
        <w:t>在课余时间（含周末及节假日）接受每次</w:t>
      </w: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小时（不含课间休息和家长沟通时间）的基本康复训练课程，以个性化服务支持为主。（本条为征集人对入围供应商进行服务质量评估时的必要内容）</w:t>
      </w:r>
    </w:p>
    <w:p w14:paraId="6E9B7D0F">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8. </w:t>
      </w:r>
      <w:r>
        <w:rPr>
          <w:rFonts w:hint="eastAsia" w:cs="宋体" w:asciiTheme="minorEastAsia" w:hAnsiTheme="minorEastAsia" w:eastAsiaTheme="minorEastAsia"/>
          <w:color w:val="auto"/>
          <w:sz w:val="24"/>
          <w:szCs w:val="24"/>
          <w:highlight w:val="none"/>
        </w:rPr>
        <w:t>提供肢体（脑瘫）残疾儿童基本康复训练服务的具体实施方案一份。</w:t>
      </w:r>
    </w:p>
    <w:bookmarkEnd w:id="260"/>
    <w:p w14:paraId="129832B7">
      <w:pPr>
        <w:overflowPunct w:val="0"/>
        <w:topLinePunct/>
        <w:spacing w:line="520" w:lineRule="exact"/>
        <w:jc w:val="center"/>
        <w:rPr>
          <w:rFonts w:asciiTheme="minorEastAsia" w:hAnsiTheme="minorEastAsia" w:eastAsiaTheme="minorEastAsia"/>
          <w:b/>
          <w:bCs/>
          <w:color w:val="auto"/>
          <w:sz w:val="24"/>
          <w:szCs w:val="24"/>
          <w:highlight w:val="none"/>
        </w:rPr>
      </w:pPr>
      <w:bookmarkStart w:id="261" w:name="_Hlk206335926"/>
    </w:p>
    <w:p w14:paraId="5E19A009">
      <w:pPr>
        <w:overflowPunct w:val="0"/>
        <w:topLinePunct/>
        <w:spacing w:line="520" w:lineRule="exact"/>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采购包四</w:t>
      </w:r>
      <w:r>
        <w:rPr>
          <w:rFonts w:hint="eastAsia" w:cs="宋体" w:asciiTheme="minorEastAsia" w:hAnsiTheme="minorEastAsia" w:eastAsiaTheme="minorEastAsia"/>
          <w:b/>
          <w:bCs/>
          <w:color w:val="auto"/>
          <w:sz w:val="24"/>
          <w:szCs w:val="24"/>
          <w:highlight w:val="none"/>
        </w:rPr>
        <w:t>：智力残疾儿童基本康复训练服务采购需求</w:t>
      </w:r>
    </w:p>
    <w:p w14:paraId="181D4F37">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建设要求：本地训练场所应在三层及以下的非地下室，建筑总面积不少于700平方米（业务用房面积不少于500平方米）符合国家无障碍通行要求（提供房产证或租赁协议，若为租赁协议另需提供房主房产证或其他有效的产权证明，外部环境和内部场所照片及介绍文字）</w:t>
      </w:r>
    </w:p>
    <w:p w14:paraId="3774B192">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 训练场地（提供场所平面图并标注出各种功能室，提供各功能室照片）：</w:t>
      </w:r>
    </w:p>
    <w:p w14:paraId="12CCF78C">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（1）设置至少1间咨询接待(评估)室（不少于15平方米）；</w:t>
      </w:r>
    </w:p>
    <w:p w14:paraId="5C41709A">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（2）设置至少1间集体（组别）教室，内设游戏活动区，每间不少于30平方米；</w:t>
      </w:r>
    </w:p>
    <w:p w14:paraId="5589AD5E">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（3）设置至少1间运动/感统训练室 （不少于50平方米）；</w:t>
      </w:r>
    </w:p>
    <w:p w14:paraId="1DCCDECB">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（4）设置至少4间个性化训练教室（每间不少于8平方米）；</w:t>
      </w:r>
    </w:p>
    <w:p w14:paraId="578BDDF2">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（5）设置生活自理能力训练区（包括洗漱、就餐、更衣、如厕等区域）,可结合机构日常生活环境布置；</w:t>
      </w:r>
    </w:p>
    <w:p w14:paraId="2BCE82B4">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（6）有独立的室外活动场地，设有安全提示标志和安全设施，确保无安全隐患。</w:t>
      </w:r>
    </w:p>
    <w:p w14:paraId="2C78FB8C">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 训练设备（提供清单及使用过程中的照片）：</w:t>
      </w:r>
    </w:p>
    <w:p w14:paraId="385700A1">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（1）康复评估工具：配备能对智力残疾儿童进行运动、感知、言语、生活自理、社会适应、认知能力评估量表和工具，至少配备2种。</w:t>
      </w:r>
    </w:p>
    <w:p w14:paraId="7CBFE100">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（2）康复训练设备：配备 </w:t>
      </w:r>
      <w:r>
        <w:rPr>
          <w:rFonts w:cs="宋体" w:asciiTheme="minorEastAsia" w:hAnsiTheme="minorEastAsia" w:eastAsiaTheme="minorEastAsia"/>
          <w:color w:val="auto"/>
          <w:sz w:val="24"/>
          <w:szCs w:val="24"/>
          <w:highlight w:val="none"/>
        </w:rPr>
        <w:t>PT</w:t>
      </w:r>
      <w:r>
        <w:rPr>
          <w:rFonts w:hint="eastAsia" w:cs="宋体" w:asciiTheme="minorEastAsia" w:hAnsiTheme="minorEastAsia" w:eastAsiaTheme="minorEastAsia"/>
          <w:color w:val="auto"/>
          <w:sz w:val="24"/>
          <w:szCs w:val="24"/>
          <w:highlight w:val="none"/>
        </w:rPr>
        <w:t>软垫（床）、滑板车、大滑板、吊筒、钻滚筒、羊角球、大龙球、布袋跳、触觉球、按摩地垫、平衡木、平衡踩踏车、万象组合包、精细运动训练玩具等。</w:t>
      </w:r>
    </w:p>
    <w:p w14:paraId="6827A5E6">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（3）教学设备：配备儿童的课桌椅、大小黑（白）板、多媒体教学；适合儿童特点的挂图、卡片、玩具；配备至少80件符合儿童训练特点的各类玩具和图书。配备家长培训所需的教学设备。</w:t>
      </w:r>
    </w:p>
    <w:p w14:paraId="54144DC8">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4．人员配备：</w:t>
      </w:r>
    </w:p>
    <w:p w14:paraId="29F8DAB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（1）至少配备1名康复业务主管（具有教育、医疗、康复、心理等相关专业本科以上学历，三年以上机构管理工作经验（管理工作经验以各机构在《项目人员配置清单》中填写内容为准）；</w:t>
      </w:r>
    </w:p>
    <w:p w14:paraId="4AEB1E8E">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（2）医疗类机构：配备至少1名康复医师，具有康复医学与理疗学、儿科、中医或中西医专业背景本科以上学历，取得国家医师资格证书并注册在本机构；</w:t>
      </w:r>
    </w:p>
    <w:p w14:paraId="39000E6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教育类机构：配备至少3名康复教师，具有特殊教育、学前教育、心理学等相关专业背景大专以上学历，并取得教师资格证；</w:t>
      </w:r>
    </w:p>
    <w:p w14:paraId="5235063E">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（3）至少配备2名康复治疗师，具有医疗、康复、护理相关专业背景大专以上学历，并取得相应执业资格；</w:t>
      </w:r>
    </w:p>
    <w:p w14:paraId="573D5249">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（4）上述专业技术人员均在本单位缴纳社会保险，均应取得健康证明；</w:t>
      </w:r>
      <w:r>
        <w:rPr>
          <w:rFonts w:cs="宋体" w:asciiTheme="minorEastAsia" w:hAnsiTheme="minorEastAsia" w:eastAsiaTheme="minorEastAsia"/>
          <w:color w:val="auto"/>
          <w:sz w:val="24"/>
          <w:szCs w:val="24"/>
          <w:highlight w:val="none"/>
        </w:rPr>
        <w:t xml:space="preserve"> </w:t>
      </w:r>
    </w:p>
    <w:p w14:paraId="668AAB96">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（5）个训教师与残疾儿童比例不低于</w:t>
      </w:r>
      <w:r>
        <w:rPr>
          <w:rFonts w:cs="宋体" w:asciiTheme="minorEastAsia" w:hAnsiTheme="minorEastAsia" w:eastAsiaTheme="minorEastAsia"/>
          <w:color w:val="auto"/>
          <w:sz w:val="24"/>
          <w:szCs w:val="24"/>
          <w:highlight w:val="none"/>
        </w:rPr>
        <w:t>1:8</w:t>
      </w:r>
      <w:r>
        <w:rPr>
          <w:rFonts w:hint="eastAsia" w:cs="宋体" w:asciiTheme="minorEastAsia" w:hAnsiTheme="minorEastAsia" w:eastAsiaTheme="minorEastAsia"/>
          <w:color w:val="auto"/>
          <w:sz w:val="24"/>
          <w:szCs w:val="24"/>
          <w:highlight w:val="none"/>
        </w:rPr>
        <w:t>；康复治疗师与残疾儿童的比例不低于</w:t>
      </w:r>
      <w:r>
        <w:rPr>
          <w:rFonts w:cs="宋体" w:asciiTheme="minorEastAsia" w:hAnsiTheme="minorEastAsia" w:eastAsiaTheme="minorEastAsia"/>
          <w:color w:val="auto"/>
          <w:sz w:val="24"/>
          <w:szCs w:val="24"/>
          <w:highlight w:val="none"/>
        </w:rPr>
        <w:t>1:15</w:t>
      </w:r>
      <w:r>
        <w:rPr>
          <w:rFonts w:hint="eastAsia" w:cs="宋体" w:asciiTheme="minorEastAsia" w:hAnsiTheme="minorEastAsia" w:eastAsiaTheme="minorEastAsia"/>
          <w:color w:val="auto"/>
          <w:sz w:val="24"/>
          <w:szCs w:val="24"/>
          <w:highlight w:val="none"/>
        </w:rPr>
        <w:t>。</w:t>
      </w:r>
    </w:p>
    <w:p w14:paraId="429EABF3">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bookmarkStart w:id="262" w:name="OLE_LINK57"/>
      <w:r>
        <w:rPr>
          <w:rFonts w:hint="eastAsia" w:cs="宋体" w:asciiTheme="minorEastAsia" w:hAnsiTheme="minorEastAsia" w:eastAsiaTheme="minorEastAsia"/>
          <w:color w:val="auto"/>
          <w:sz w:val="24"/>
          <w:szCs w:val="24"/>
          <w:highlight w:val="none"/>
        </w:rPr>
        <w:t>以上需求，请提供《项目人员配置清单》和《在训儿童清单》（格式见附件1、2），并按要求提供证明材料（人员学历证书（或学信网相关查询记录）、管理工作经验以各机构在《项目人员配置清单》中填写内容为准、资格证书、申请人近三个月中任意一个月份（不含征集当月）为其缴纳社保的证明、健康检查合格证明或体检报告，公办机构的编外劳务派遣专业技术人员的另需提供第三方劳务派遣协议等证明资料）。</w:t>
      </w:r>
    </w:p>
    <w:bookmarkEnd w:id="262"/>
    <w:p w14:paraId="2E132F37">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 服务能力：</w:t>
      </w:r>
    </w:p>
    <w:p w14:paraId="3107205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目前在训或投标前1年内训练周期不少于3个月的智力障碍儿童不少于10名（提供《在训儿童清单》，每名儿童均需出具三级医疗机构出具的医疗诊断书（诊断明确为唐氏综合症、智力障碍、发育迟缓等）或智力残疾人证，已纳入康复救助的在训儿童可以无锡市残联信息系统康复救助审核通过的截图代替；</w:t>
      </w:r>
    </w:p>
    <w:p w14:paraId="79701E10">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（2）能提供以下训练内容：社会交往与沟通、认知与感知、运动、生活自理、兴趣与行为、情绪管理和社会融合活动（至少提供6张以上不同训练情境的照片并匹配文字）； </w:t>
      </w:r>
    </w:p>
    <w:p w14:paraId="5D3E4D10">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（3）至少提供1份完整的基本康复训练档案，包括康复服务登记表、初始状态评估表、康复训练计划、康复训练记录或康复训练日志、阶段性评估表（至少每半年1次）、训练出勤表（缺一不可）；</w:t>
      </w:r>
    </w:p>
    <w:p w14:paraId="3A1F4564">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（4）为在训儿童及家长提供家庭康复指导、心理辅导、政策咨询、知识普及等支持性服务，康复知识个别化讲解和康复训练指导根据实际需要随时提供，集中培训活动每两月不少于1次，每次不少于1小时；</w:t>
      </w:r>
    </w:p>
    <w:p w14:paraId="5CB5DA5A">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（5）社会融合活动每季度1次，每次不少于1小时；</w:t>
      </w:r>
    </w:p>
    <w:p w14:paraId="4786A468">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（6）定期向家长提供每年不少于4次的相关培训，并有书面和视频记录；</w:t>
      </w:r>
    </w:p>
    <w:p w14:paraId="135E1156">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（7）结合“全国助残日”等专题日，开展或参与公益活动，每年不少于2次。</w:t>
      </w:r>
    </w:p>
    <w:p w14:paraId="1ACBC4C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以上（4）~（7）条为征集人对入围供应商进行服务质量评估时的必要内容。</w:t>
      </w:r>
    </w:p>
    <w:p w14:paraId="164879B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 制度管理：具备岗位职责、业务管理、突发事件应急预案等内控制度，服务项目等信息向服务对象公示（提供照片、文字资料）；</w:t>
      </w:r>
    </w:p>
    <w:p w14:paraId="7571DACF">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7. 服务计费与时间：</w:t>
      </w:r>
    </w:p>
    <w:p w14:paraId="2BE43109">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（1）医疗类机构：按医疗机构康复服务项目标准提供服务（提供智力康复项目收费价目表一份，并作为经费结算依据）（格式见附件3）；</w:t>
      </w:r>
    </w:p>
    <w:p w14:paraId="6C39E71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（2）教育类机构：</w:t>
      </w:r>
      <w:r>
        <w:rPr>
          <w:rFonts w:hint="eastAsia" w:cs="宋体" w:asciiTheme="minorEastAsia" w:hAnsiTheme="minorEastAsia" w:eastAsiaTheme="minorEastAsia"/>
          <w:b/>
          <w:bCs/>
          <w:color w:val="auto"/>
          <w:sz w:val="24"/>
          <w:szCs w:val="24"/>
          <w:highlight w:val="none"/>
        </w:rPr>
        <w:t>全日制，</w:t>
      </w:r>
      <w:r>
        <w:rPr>
          <w:rFonts w:hint="eastAsia" w:cs="宋体" w:asciiTheme="minorEastAsia" w:hAnsiTheme="minorEastAsia" w:eastAsiaTheme="minorEastAsia"/>
          <w:color w:val="auto"/>
          <w:sz w:val="24"/>
          <w:szCs w:val="24"/>
          <w:highlight w:val="none"/>
        </w:rPr>
        <w:t>在当月法定工作（学习）日，接受每天不少于</w:t>
      </w:r>
      <w:r>
        <w:rPr>
          <w:rFonts w:cs="宋体"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szCs w:val="24"/>
          <w:highlight w:val="none"/>
        </w:rPr>
        <w:t>小时的基本康复训练课程，同时在机构接受包括课间、一餐两点、午休等一日生活安排在内的服务，在机构时间一般不少于</w:t>
      </w:r>
      <w:r>
        <w:rPr>
          <w:rFonts w:cs="宋体" w:asciiTheme="minorEastAsia" w:hAnsiTheme="minorEastAsia" w:eastAsiaTheme="minorEastAsia"/>
          <w:color w:val="auto"/>
          <w:sz w:val="24"/>
          <w:szCs w:val="24"/>
          <w:highlight w:val="none"/>
        </w:rPr>
        <w:t>7</w:t>
      </w:r>
      <w:r>
        <w:rPr>
          <w:rFonts w:hint="eastAsia" w:cs="宋体" w:asciiTheme="minorEastAsia" w:hAnsiTheme="minorEastAsia" w:eastAsiaTheme="minorEastAsia"/>
          <w:color w:val="auto"/>
          <w:sz w:val="24"/>
          <w:szCs w:val="24"/>
          <w:highlight w:val="none"/>
        </w:rPr>
        <w:t>小时。</w:t>
      </w:r>
      <w:r>
        <w:rPr>
          <w:rFonts w:cs="宋体" w:asciiTheme="minorEastAsia" w:hAnsiTheme="minorEastAsia" w:eastAsiaTheme="minorEastAsia"/>
          <w:color w:val="auto"/>
          <w:sz w:val="24"/>
          <w:szCs w:val="24"/>
          <w:highlight w:val="none"/>
        </w:rPr>
        <w:t>7-17</w:t>
      </w:r>
      <w:r>
        <w:rPr>
          <w:rFonts w:hint="eastAsia" w:cs="宋体" w:asciiTheme="minorEastAsia" w:hAnsiTheme="minorEastAsia" w:eastAsiaTheme="minorEastAsia"/>
          <w:color w:val="auto"/>
          <w:sz w:val="24"/>
          <w:szCs w:val="24"/>
          <w:highlight w:val="none"/>
        </w:rPr>
        <w:t>周岁的肢体残疾儿童可根据实际情况调整训练课程和一日生活安排，在机构时间不少于</w:t>
      </w:r>
      <w:r>
        <w:rPr>
          <w:rFonts w:cs="宋体" w:asciiTheme="minorEastAsia" w:hAnsiTheme="minorEastAsia" w:eastAsiaTheme="minorEastAsia"/>
          <w:color w:val="auto"/>
          <w:sz w:val="24"/>
          <w:szCs w:val="24"/>
          <w:highlight w:val="none"/>
        </w:rPr>
        <w:t>5</w:t>
      </w:r>
      <w:r>
        <w:rPr>
          <w:rFonts w:hint="eastAsia" w:cs="宋体" w:asciiTheme="minorEastAsia" w:hAnsiTheme="minorEastAsia" w:eastAsiaTheme="minorEastAsia"/>
          <w:color w:val="auto"/>
          <w:sz w:val="24"/>
          <w:szCs w:val="24"/>
          <w:highlight w:val="none"/>
        </w:rPr>
        <w:t>小时，并包含午餐和午休；</w:t>
      </w:r>
      <w:r>
        <w:rPr>
          <w:rFonts w:hint="eastAsia" w:cs="宋体" w:asciiTheme="minorEastAsia" w:hAnsiTheme="minorEastAsia" w:eastAsiaTheme="minorEastAsia"/>
          <w:b/>
          <w:bCs/>
          <w:color w:val="auto"/>
          <w:sz w:val="24"/>
          <w:szCs w:val="24"/>
          <w:highlight w:val="none"/>
        </w:rPr>
        <w:t>半日制，</w:t>
      </w:r>
      <w:r>
        <w:rPr>
          <w:rFonts w:hint="eastAsia" w:cs="宋体" w:asciiTheme="minorEastAsia" w:hAnsiTheme="minorEastAsia" w:eastAsiaTheme="minorEastAsia"/>
          <w:color w:val="auto"/>
          <w:sz w:val="24"/>
          <w:szCs w:val="24"/>
          <w:highlight w:val="none"/>
        </w:rPr>
        <w:t>在当月法定工作（学习）日接受每天不少于</w:t>
      </w:r>
      <w:r>
        <w:rPr>
          <w:rFonts w:cs="宋体"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小时的基本康复训练课程，在机构时间一般不少于</w:t>
      </w:r>
      <w:r>
        <w:rPr>
          <w:rFonts w:cs="宋体" w:asciiTheme="minorEastAsia" w:hAnsiTheme="minorEastAsia" w:eastAsiaTheme="minorEastAsia"/>
          <w:color w:val="auto"/>
          <w:sz w:val="24"/>
          <w:szCs w:val="24"/>
          <w:highlight w:val="none"/>
        </w:rPr>
        <w:t>3</w:t>
      </w:r>
      <w:r>
        <w:rPr>
          <w:rFonts w:hint="eastAsia" w:cs="宋体" w:asciiTheme="minorEastAsia" w:hAnsiTheme="minorEastAsia" w:eastAsiaTheme="minorEastAsia"/>
          <w:color w:val="auto"/>
          <w:sz w:val="24"/>
          <w:szCs w:val="24"/>
          <w:highlight w:val="none"/>
        </w:rPr>
        <w:t>小时，个性化服务支持每天不少于</w:t>
      </w: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节课</w:t>
      </w:r>
      <w:r>
        <w:rPr>
          <w:rFonts w:cs="宋体" w:asciiTheme="minorEastAsia" w:hAnsiTheme="minorEastAsia" w:eastAsiaTheme="minorEastAsia"/>
          <w:color w:val="auto"/>
          <w:sz w:val="24"/>
          <w:szCs w:val="24"/>
          <w:highlight w:val="none"/>
        </w:rPr>
        <w:t>30</w:t>
      </w:r>
      <w:r>
        <w:rPr>
          <w:rFonts w:hint="eastAsia" w:cs="宋体" w:asciiTheme="minorEastAsia" w:hAnsiTheme="minorEastAsia" w:eastAsiaTheme="minorEastAsia"/>
          <w:color w:val="auto"/>
          <w:sz w:val="24"/>
          <w:szCs w:val="24"/>
          <w:highlight w:val="none"/>
        </w:rPr>
        <w:t>分钟，</w:t>
      </w:r>
      <w:r>
        <w:rPr>
          <w:rFonts w:cs="宋体" w:asciiTheme="minorEastAsia" w:hAnsiTheme="minorEastAsia" w:eastAsiaTheme="minorEastAsia"/>
          <w:color w:val="auto"/>
          <w:sz w:val="24"/>
          <w:szCs w:val="24"/>
          <w:highlight w:val="none"/>
        </w:rPr>
        <w:t>7-17</w:t>
      </w:r>
      <w:r>
        <w:rPr>
          <w:rFonts w:hint="eastAsia" w:cs="宋体" w:asciiTheme="minorEastAsia" w:hAnsiTheme="minorEastAsia" w:eastAsiaTheme="minorEastAsia"/>
          <w:color w:val="auto"/>
          <w:sz w:val="24"/>
          <w:szCs w:val="24"/>
          <w:highlight w:val="none"/>
        </w:rPr>
        <w:t>周岁的肢体残疾儿童的个性化服务支持可根据实际情况调整。机构不安排餐食和午休，其余活动安排与全日制一致；</w:t>
      </w:r>
      <w:r>
        <w:rPr>
          <w:rFonts w:hint="eastAsia" w:cs="宋体" w:asciiTheme="minorEastAsia" w:hAnsiTheme="minorEastAsia" w:eastAsiaTheme="minorEastAsia"/>
          <w:b/>
          <w:bCs/>
          <w:color w:val="auto"/>
          <w:sz w:val="24"/>
          <w:szCs w:val="24"/>
          <w:highlight w:val="none"/>
        </w:rPr>
        <w:t>课程制，</w:t>
      </w:r>
      <w:r>
        <w:rPr>
          <w:rFonts w:hint="eastAsia" w:cs="宋体" w:asciiTheme="minorEastAsia" w:hAnsiTheme="minorEastAsia" w:eastAsiaTheme="minorEastAsia"/>
          <w:color w:val="auto"/>
          <w:sz w:val="24"/>
          <w:szCs w:val="24"/>
          <w:highlight w:val="none"/>
        </w:rPr>
        <w:t>在课余时间（含周末及节假日）接受每次</w:t>
      </w: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小时（不含课间休息和家长沟通时间）的基本康复训练课程，以个性化服务支持为主。（本条为征集人对入围供应商进行服务质量评估时的必要内容）</w:t>
      </w:r>
    </w:p>
    <w:p w14:paraId="0462EF0B">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8. 提供智力残疾儿童基本康复训练服务的具体实施方案一份</w:t>
      </w:r>
    </w:p>
    <w:p w14:paraId="62792760">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采购包四所需的场地、设备、人员可与采购包五共用。</w:t>
      </w:r>
    </w:p>
    <w:bookmarkEnd w:id="261"/>
    <w:p w14:paraId="6B2693A2">
      <w:pPr>
        <w:overflowPunct w:val="0"/>
        <w:topLinePunct/>
        <w:spacing w:line="520" w:lineRule="exact"/>
        <w:jc w:val="center"/>
        <w:rPr>
          <w:rFonts w:asciiTheme="minorEastAsia" w:hAnsiTheme="minorEastAsia" w:eastAsiaTheme="minorEastAsia"/>
          <w:b/>
          <w:bCs/>
          <w:color w:val="auto"/>
          <w:sz w:val="24"/>
          <w:szCs w:val="24"/>
          <w:highlight w:val="none"/>
        </w:rPr>
      </w:pPr>
    </w:p>
    <w:p w14:paraId="5CE8786C">
      <w:pPr>
        <w:overflowPunct w:val="0"/>
        <w:topLinePunct/>
        <w:spacing w:line="520" w:lineRule="exact"/>
        <w:jc w:val="center"/>
        <w:rPr>
          <w:rFonts w:asciiTheme="minorEastAsia" w:hAnsiTheme="minorEastAsia" w:eastAsiaTheme="minorEastAsia"/>
          <w:b/>
          <w:bCs/>
          <w:color w:val="auto"/>
          <w:sz w:val="24"/>
          <w:szCs w:val="24"/>
          <w:highlight w:val="none"/>
        </w:rPr>
      </w:pPr>
      <w:r>
        <w:rPr>
          <w:rFonts w:hint="eastAsia" w:asciiTheme="minorEastAsia" w:hAnsiTheme="minorEastAsia" w:eastAsiaTheme="minorEastAsia"/>
          <w:b/>
          <w:bCs/>
          <w:color w:val="auto"/>
          <w:sz w:val="24"/>
          <w:szCs w:val="24"/>
          <w:highlight w:val="none"/>
        </w:rPr>
        <w:t>采购包五</w:t>
      </w:r>
      <w:r>
        <w:rPr>
          <w:rFonts w:hint="eastAsia" w:cs="宋体" w:asciiTheme="minorEastAsia" w:hAnsiTheme="minorEastAsia" w:eastAsiaTheme="minorEastAsia"/>
          <w:b/>
          <w:bCs/>
          <w:color w:val="auto"/>
          <w:sz w:val="24"/>
          <w:szCs w:val="24"/>
          <w:highlight w:val="none"/>
        </w:rPr>
        <w:t>：孤独症儿童基本康复训练服务采购需求</w:t>
      </w:r>
    </w:p>
    <w:p w14:paraId="5D60AC50">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建设要求：本地训练场所应在三层及以下的非地下室，建筑总面积不少于700平方米（业务用房面积不少于500平方米）符合国家无障碍通行要求（提供房产证或租赁协议，若为租赁协议另需提供房主房产证或其他有效的产权证明，外部环境和内部场所照片及</w:t>
      </w:r>
      <w:bookmarkStart w:id="263" w:name="OLE_LINK56"/>
      <w:bookmarkStart w:id="264" w:name="OLE_LINK55"/>
      <w:r>
        <w:rPr>
          <w:rFonts w:hint="eastAsia" w:cs="宋体" w:asciiTheme="minorEastAsia" w:hAnsiTheme="minorEastAsia" w:eastAsiaTheme="minorEastAsia"/>
          <w:color w:val="auto"/>
          <w:sz w:val="24"/>
          <w:szCs w:val="24"/>
          <w:highlight w:val="none"/>
        </w:rPr>
        <w:t>介绍文字</w:t>
      </w:r>
      <w:bookmarkEnd w:id="263"/>
      <w:bookmarkEnd w:id="264"/>
      <w:r>
        <w:rPr>
          <w:rFonts w:hint="eastAsia" w:cs="宋体" w:asciiTheme="minorEastAsia" w:hAnsiTheme="minorEastAsia" w:eastAsiaTheme="minorEastAsia"/>
          <w:color w:val="auto"/>
          <w:sz w:val="24"/>
          <w:szCs w:val="24"/>
          <w:highlight w:val="none"/>
        </w:rPr>
        <w:t>）</w:t>
      </w:r>
    </w:p>
    <w:p w14:paraId="60BF542C">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 训练场地（提供场所平面图并标注出各种功能室，提供各功能室照片）：</w:t>
      </w:r>
    </w:p>
    <w:p w14:paraId="270D176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（1）设置至少1间咨询接待(评估)室（不少于15平方米）；</w:t>
      </w:r>
    </w:p>
    <w:p w14:paraId="3C473763">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（2）设置至少1间集体（组别）教室，内设游戏活动区，每间不少于30平方米；</w:t>
      </w:r>
    </w:p>
    <w:p w14:paraId="1324A590">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（3）设置至少1间运动/感统训练室 ，每间不少于50平方米；</w:t>
      </w:r>
    </w:p>
    <w:p w14:paraId="7FF03B8F">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（4）设置至少4间个性化训练教室，每间不少于8平方米；</w:t>
      </w:r>
    </w:p>
    <w:p w14:paraId="3E29CA45">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（5）设置生活自理能力训练区，包括洗漱、就餐、更衣、如厕等区域，可结合机构日常生活环境布置。</w:t>
      </w:r>
    </w:p>
    <w:p w14:paraId="64419381">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（6）有独立的室外活动场地，设有安全提示标志和安全设施，确保无安全隐患。</w:t>
      </w:r>
    </w:p>
    <w:p w14:paraId="42C49EEB">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 训练设备（提供清单及使用过程中的照片）：</w:t>
      </w:r>
    </w:p>
    <w:p w14:paraId="0C117C29">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（1）康复评估工具：配备心理教育评估表（</w:t>
      </w:r>
      <w:r>
        <w:rPr>
          <w:rFonts w:cs="宋体" w:asciiTheme="minorEastAsia" w:hAnsiTheme="minorEastAsia" w:eastAsiaTheme="minorEastAsia"/>
          <w:color w:val="auto"/>
          <w:sz w:val="24"/>
          <w:szCs w:val="24"/>
          <w:highlight w:val="none"/>
        </w:rPr>
        <w:t>PEP</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3</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/C</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PEP-3/</w:t>
      </w:r>
      <w:r>
        <w:rPr>
          <w:rFonts w:hint="eastAsia" w:cs="宋体" w:asciiTheme="minorEastAsia" w:hAnsiTheme="minorEastAsia" w:eastAsiaTheme="minorEastAsia"/>
          <w:color w:val="auto"/>
          <w:sz w:val="24"/>
          <w:szCs w:val="24"/>
          <w:highlight w:val="none"/>
        </w:rPr>
        <w:t>孤独症儿童发展评估表（</w:t>
      </w:r>
      <w:r>
        <w:rPr>
          <w:rFonts w:cs="宋体" w:asciiTheme="minorEastAsia" w:hAnsiTheme="minorEastAsia" w:eastAsiaTheme="minorEastAsia"/>
          <w:color w:val="auto"/>
          <w:sz w:val="24"/>
          <w:szCs w:val="24"/>
          <w:highlight w:val="none"/>
        </w:rPr>
        <w:t>C</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PEP</w:t>
      </w:r>
      <w:r>
        <w:rPr>
          <w:rFonts w:hint="eastAsia" w:cs="宋体" w:asciiTheme="minorEastAsia" w:hAnsiTheme="minorEastAsia" w:eastAsiaTheme="minorEastAsia"/>
          <w:color w:val="auto"/>
          <w:sz w:val="24"/>
          <w:szCs w:val="24"/>
          <w:highlight w:val="none"/>
        </w:rPr>
        <w:t>）、语言行为里程碑评估及安置程序（</w:t>
      </w:r>
      <w:r>
        <w:rPr>
          <w:rFonts w:cs="宋体" w:asciiTheme="minorEastAsia" w:hAnsiTheme="minorEastAsia" w:eastAsiaTheme="minorEastAsia"/>
          <w:color w:val="auto"/>
          <w:sz w:val="24"/>
          <w:szCs w:val="24"/>
          <w:highlight w:val="none"/>
        </w:rPr>
        <w:t>VB</w:t>
      </w:r>
      <w:r>
        <w:rPr>
          <w:rFonts w:hint="eastAsia" w:cs="宋体" w:asciiTheme="minorEastAsia" w:hAnsiTheme="minorEastAsia" w:eastAsiaTheme="minorEastAsia"/>
          <w:color w:val="auto"/>
          <w:sz w:val="24"/>
          <w:szCs w:val="24"/>
          <w:highlight w:val="none"/>
        </w:rPr>
        <w:t>－</w:t>
      </w:r>
      <w:r>
        <w:rPr>
          <w:rFonts w:cs="宋体" w:asciiTheme="minorEastAsia" w:hAnsiTheme="minorEastAsia" w:eastAsiaTheme="minorEastAsia"/>
          <w:color w:val="auto"/>
          <w:sz w:val="24"/>
          <w:szCs w:val="24"/>
          <w:highlight w:val="none"/>
        </w:rPr>
        <w:t>MAPP</w:t>
      </w:r>
      <w:r>
        <w:rPr>
          <w:rFonts w:hint="eastAsia" w:cs="宋体" w:asciiTheme="minorEastAsia" w:hAnsiTheme="minorEastAsia" w:eastAsiaTheme="minorEastAsia"/>
          <w:color w:val="auto"/>
          <w:sz w:val="24"/>
          <w:szCs w:val="24"/>
          <w:highlight w:val="none"/>
        </w:rPr>
        <w:t>）、婴儿</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初中生社会生活量表</w:t>
      </w:r>
      <w:r>
        <w:rPr>
          <w:rFonts w:cs="宋体" w:asciiTheme="minorEastAsia" w:hAnsiTheme="minorEastAsia" w:eastAsiaTheme="minorEastAsia"/>
          <w:color w:val="auto"/>
          <w:sz w:val="24"/>
          <w:szCs w:val="24"/>
          <w:highlight w:val="none"/>
        </w:rPr>
        <w:t>/</w:t>
      </w:r>
      <w:r>
        <w:rPr>
          <w:rFonts w:hint="eastAsia" w:cs="宋体" w:asciiTheme="minorEastAsia" w:hAnsiTheme="minorEastAsia" w:eastAsiaTheme="minorEastAsia"/>
          <w:color w:val="auto"/>
          <w:sz w:val="24"/>
          <w:szCs w:val="24"/>
          <w:highlight w:val="none"/>
        </w:rPr>
        <w:t>儿童适应行为评定量表</w:t>
      </w:r>
      <w:r>
        <w:rPr>
          <w:rFonts w:cs="宋体" w:asciiTheme="minorEastAsia" w:hAnsiTheme="minorEastAsia" w:eastAsiaTheme="minorEastAsia"/>
          <w:color w:val="auto"/>
          <w:sz w:val="24"/>
          <w:szCs w:val="24"/>
          <w:highlight w:val="none"/>
        </w:rPr>
        <w:t>/Gesell</w:t>
      </w:r>
      <w:r>
        <w:rPr>
          <w:rFonts w:hint="eastAsia" w:cs="宋体" w:asciiTheme="minorEastAsia" w:hAnsiTheme="minorEastAsia" w:eastAsiaTheme="minorEastAsia"/>
          <w:color w:val="auto"/>
          <w:sz w:val="24"/>
          <w:szCs w:val="24"/>
          <w:highlight w:val="none"/>
        </w:rPr>
        <w:t>发育量表等，至少配备2种。</w:t>
      </w:r>
    </w:p>
    <w:p w14:paraId="15D4DBC2">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（2）康复训练设备：滑板车、大滑板、吊筒、钻滚筒、羊角球、大龙球、布袋跳、触觉球、按摩地垫、平衡木、平衡踩踏车、万象组合包、精细运动训练玩具等</w:t>
      </w:r>
    </w:p>
    <w:p w14:paraId="21FF510F">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（3）教学设备：配备儿童的课桌椅、大小黑（白）板、多媒体教学器材；适合儿童特点的挂图、卡片、音乐、游戏等教玩具；配备至少80件符合儿童训练特点的各类玩具和图书。配备家长培训所需的教学设备。</w:t>
      </w:r>
    </w:p>
    <w:p w14:paraId="5AD56D09">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4．人员配备：</w:t>
      </w:r>
    </w:p>
    <w:p w14:paraId="48C4E223">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（1）至少配备1名康复业务主管（具有教育、医疗、康复、心理等相关专业本科以上学历，三年以上机构管理工作经验（管理工作经验以各机构在《项目人员配置清单》中填写内容为准）；</w:t>
      </w:r>
    </w:p>
    <w:p w14:paraId="442439D2">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（2）医疗类机构：配备至少一名康复医师，具有康复医学与理疗学、儿科、中医或中西医专业背景本科以上学历，取得国家医师资格证书并注册在本机构；</w:t>
      </w:r>
    </w:p>
    <w:p w14:paraId="3CCB16B7">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教育类机构：配备至少3名康复教师，具有特殊教育、学前教育、心理学等相关专业背景大专以上学历，并取得教师资格证；</w:t>
      </w:r>
    </w:p>
    <w:p w14:paraId="563333C2">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（3）至少配备2名康复治疗师，具有医疗、康复、护理相关专业背景大专以上学历，并取得相应执业资格；</w:t>
      </w:r>
    </w:p>
    <w:p w14:paraId="05558C0C">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（4）上述专业技术人员均在本单位缴纳社会保险，均应取得健康证明。</w:t>
      </w:r>
    </w:p>
    <w:p w14:paraId="3DEA516C">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（5）个训教师与残疾儿童比例不低于</w:t>
      </w:r>
      <w:r>
        <w:rPr>
          <w:rFonts w:cs="宋体" w:asciiTheme="minorEastAsia" w:hAnsiTheme="minorEastAsia" w:eastAsiaTheme="minorEastAsia"/>
          <w:color w:val="auto"/>
          <w:sz w:val="24"/>
          <w:szCs w:val="24"/>
          <w:highlight w:val="none"/>
        </w:rPr>
        <w:t>1:8</w:t>
      </w:r>
      <w:r>
        <w:rPr>
          <w:rFonts w:hint="eastAsia" w:cs="宋体" w:asciiTheme="minorEastAsia" w:hAnsiTheme="minorEastAsia" w:eastAsiaTheme="minorEastAsia"/>
          <w:color w:val="auto"/>
          <w:sz w:val="24"/>
          <w:szCs w:val="24"/>
          <w:highlight w:val="none"/>
        </w:rPr>
        <w:t>；康复治疗师与残疾儿童的比例不低于</w:t>
      </w:r>
      <w:r>
        <w:rPr>
          <w:rFonts w:cs="宋体" w:asciiTheme="minorEastAsia" w:hAnsiTheme="minorEastAsia" w:eastAsiaTheme="minorEastAsia"/>
          <w:color w:val="auto"/>
          <w:sz w:val="24"/>
          <w:szCs w:val="24"/>
          <w:highlight w:val="none"/>
        </w:rPr>
        <w:t>1:15</w:t>
      </w:r>
      <w:r>
        <w:rPr>
          <w:rFonts w:hint="eastAsia" w:cs="宋体" w:asciiTheme="minorEastAsia" w:hAnsiTheme="minorEastAsia" w:eastAsiaTheme="minorEastAsia"/>
          <w:color w:val="auto"/>
          <w:sz w:val="24"/>
          <w:szCs w:val="24"/>
          <w:highlight w:val="none"/>
        </w:rPr>
        <w:t>。</w:t>
      </w:r>
    </w:p>
    <w:p w14:paraId="3297D321">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以上需求，请提供《项目人员配置清单》和《在训儿童清单》（格式见附件1、2），并按要求提供证明材料（人员学历证书（或学信网相关查询记录）、管理工作经验以各机构在《项目人员配置清单》中填写内容为准、资格证书、申请人近三个月中任意一个月份（不含征集当月）为其缴纳社保的证明、健康检查合格证明或体检报告，公办机构的编外劳务派遣专业技术人员的另需提供第三方劳务派遣协议等证明资料）。</w:t>
      </w:r>
    </w:p>
    <w:p w14:paraId="4B122718">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 服务能力：</w:t>
      </w:r>
    </w:p>
    <w:p w14:paraId="1272AA99">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目前在训或投标前1年内训练周期不少于3个月的孤独症儿童不少于10名（提供《在训儿童清单》，每名儿童均需出具三级医疗机构出具的医疗诊断书（诊断明确为孤独症、疑似孤独症、0-3岁儿童诊断为发育迟缓等）或精神残疾人证，已纳入康复救助的在训儿童可以无锡市残联信息系统康复救助审核通过的截图代替）；</w:t>
      </w:r>
    </w:p>
    <w:p w14:paraId="5407721E">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 xml:space="preserve">（2）能提供以下训练内容：社会交往与沟通、认知与感知、运动、生活自理、兴趣与行为、情绪管理和社会融合活动（至少提供6张以上不同训练情境的照片并匹配文字）； </w:t>
      </w:r>
    </w:p>
    <w:p w14:paraId="3CB1CE21">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（3）至少提供1份完整的基本康复训练档案，包括康复服务登记表、初始状态评估表、康复训练计划、康复训练记录或康复训练日志、阶段性评估表（至少每半年1次）、训练出勤表（缺一不可）；</w:t>
      </w:r>
    </w:p>
    <w:p w14:paraId="0C3D8AAE">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（4）为在训儿童及家长提供家庭康复指导、心理辅导、政策咨询、知识普及等支持性服务，康复知识个别化讲解和康复训练指导根据实际需要随时提供，集中培训活动每两月不少于1次，每次不少于1小时；</w:t>
      </w:r>
    </w:p>
    <w:p w14:paraId="2FFDDBA7">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（5）社会融合活动每季度1次，每次不少于1小时；</w:t>
      </w:r>
    </w:p>
    <w:p w14:paraId="38E0501D">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（6）定期向家长提供每年不少于4次的相关培训，并有书面和视频记录；</w:t>
      </w:r>
    </w:p>
    <w:p w14:paraId="106E3617">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（7）结合“全国助残日”等专题日，开展或参与公益活动，每年不少于2次。</w:t>
      </w:r>
    </w:p>
    <w:p w14:paraId="6F1DC3C1">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以上（4）~（7）条为征集人对入围供应商进行服务质量评估时的必要内容。</w:t>
      </w:r>
    </w:p>
    <w:p w14:paraId="63EBB42E">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6. 制度管理：具备岗位职责、业务管理、突发事件应急预案等内控制度，服务项目等信息向服务对象公示。（提供照片、文字资料）；</w:t>
      </w:r>
      <w:r>
        <w:rPr>
          <w:rFonts w:cs="宋体" w:asciiTheme="minorEastAsia" w:hAnsiTheme="minorEastAsia" w:eastAsiaTheme="minorEastAsia"/>
          <w:color w:val="auto"/>
          <w:sz w:val="24"/>
          <w:szCs w:val="24"/>
          <w:highlight w:val="none"/>
        </w:rPr>
        <w:t xml:space="preserve"> </w:t>
      </w:r>
    </w:p>
    <w:p w14:paraId="646C264B">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7. 服务计费与时间：</w:t>
      </w:r>
    </w:p>
    <w:p w14:paraId="2406066E">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（1）医疗类机构：按医疗机构康复服务项目标准提供服务（提供孤独症康复项目收费价目表一份，并作为经费结算依据）（格式见附件3）；</w:t>
      </w:r>
    </w:p>
    <w:p w14:paraId="1631751E">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（2）教育类机构：</w:t>
      </w:r>
      <w:r>
        <w:rPr>
          <w:rFonts w:hint="eastAsia" w:cs="宋体" w:asciiTheme="minorEastAsia" w:hAnsiTheme="minorEastAsia" w:eastAsiaTheme="minorEastAsia"/>
          <w:b/>
          <w:bCs/>
          <w:color w:val="auto"/>
          <w:sz w:val="24"/>
          <w:szCs w:val="24"/>
          <w:highlight w:val="none"/>
        </w:rPr>
        <w:t>全日制，</w:t>
      </w:r>
      <w:r>
        <w:rPr>
          <w:rFonts w:hint="eastAsia" w:cs="宋体" w:asciiTheme="minorEastAsia" w:hAnsiTheme="minorEastAsia" w:eastAsiaTheme="minorEastAsia"/>
          <w:color w:val="auto"/>
          <w:sz w:val="24"/>
          <w:szCs w:val="24"/>
          <w:highlight w:val="none"/>
        </w:rPr>
        <w:t>在当月法定工作（学习）日，接受每天不少于</w:t>
      </w:r>
      <w:r>
        <w:rPr>
          <w:rFonts w:cs="宋体" w:asciiTheme="minorEastAsia" w:hAnsiTheme="minorEastAsia" w:eastAsiaTheme="minorEastAsia"/>
          <w:color w:val="auto"/>
          <w:sz w:val="24"/>
          <w:szCs w:val="24"/>
          <w:highlight w:val="none"/>
        </w:rPr>
        <w:t>4</w:t>
      </w:r>
      <w:r>
        <w:rPr>
          <w:rFonts w:hint="eastAsia" w:cs="宋体" w:asciiTheme="minorEastAsia" w:hAnsiTheme="minorEastAsia" w:eastAsiaTheme="minorEastAsia"/>
          <w:color w:val="auto"/>
          <w:sz w:val="24"/>
          <w:szCs w:val="24"/>
          <w:highlight w:val="none"/>
        </w:rPr>
        <w:t>小时的基本康复训练课程，同时在机构接受包括课间、一餐两点、午休等一日生活安排在内的服务，在机构时间一般不少于</w:t>
      </w:r>
      <w:r>
        <w:rPr>
          <w:rFonts w:cs="宋体" w:asciiTheme="minorEastAsia" w:hAnsiTheme="minorEastAsia" w:eastAsiaTheme="minorEastAsia"/>
          <w:color w:val="auto"/>
          <w:sz w:val="24"/>
          <w:szCs w:val="24"/>
          <w:highlight w:val="none"/>
        </w:rPr>
        <w:t>7</w:t>
      </w:r>
      <w:r>
        <w:rPr>
          <w:rFonts w:hint="eastAsia" w:cs="宋体" w:asciiTheme="minorEastAsia" w:hAnsiTheme="minorEastAsia" w:eastAsiaTheme="minorEastAsia"/>
          <w:color w:val="auto"/>
          <w:sz w:val="24"/>
          <w:szCs w:val="24"/>
          <w:highlight w:val="none"/>
        </w:rPr>
        <w:t>小时。</w:t>
      </w:r>
      <w:r>
        <w:rPr>
          <w:rFonts w:cs="宋体" w:asciiTheme="minorEastAsia" w:hAnsiTheme="minorEastAsia" w:eastAsiaTheme="minorEastAsia"/>
          <w:color w:val="auto"/>
          <w:sz w:val="24"/>
          <w:szCs w:val="24"/>
          <w:highlight w:val="none"/>
        </w:rPr>
        <w:t>7-17</w:t>
      </w:r>
      <w:r>
        <w:rPr>
          <w:rFonts w:hint="eastAsia" w:cs="宋体" w:asciiTheme="minorEastAsia" w:hAnsiTheme="minorEastAsia" w:eastAsiaTheme="minorEastAsia"/>
          <w:color w:val="auto"/>
          <w:sz w:val="24"/>
          <w:szCs w:val="24"/>
          <w:highlight w:val="none"/>
        </w:rPr>
        <w:t>周岁的肢体残疾儿童可根据实际情况调整训练课程和一日生活安排，在机构时间不少于</w:t>
      </w:r>
      <w:r>
        <w:rPr>
          <w:rFonts w:cs="宋体" w:asciiTheme="minorEastAsia" w:hAnsiTheme="minorEastAsia" w:eastAsiaTheme="minorEastAsia"/>
          <w:color w:val="auto"/>
          <w:sz w:val="24"/>
          <w:szCs w:val="24"/>
          <w:highlight w:val="none"/>
        </w:rPr>
        <w:t>5</w:t>
      </w:r>
      <w:r>
        <w:rPr>
          <w:rFonts w:hint="eastAsia" w:cs="宋体" w:asciiTheme="minorEastAsia" w:hAnsiTheme="minorEastAsia" w:eastAsiaTheme="minorEastAsia"/>
          <w:color w:val="auto"/>
          <w:sz w:val="24"/>
          <w:szCs w:val="24"/>
          <w:highlight w:val="none"/>
        </w:rPr>
        <w:t>小时，并包含午餐和午休；</w:t>
      </w:r>
      <w:r>
        <w:rPr>
          <w:rFonts w:hint="eastAsia" w:cs="宋体" w:asciiTheme="minorEastAsia" w:hAnsiTheme="minorEastAsia" w:eastAsiaTheme="minorEastAsia"/>
          <w:b/>
          <w:bCs/>
          <w:color w:val="auto"/>
          <w:sz w:val="24"/>
          <w:szCs w:val="24"/>
          <w:highlight w:val="none"/>
        </w:rPr>
        <w:t>半日制，</w:t>
      </w:r>
      <w:r>
        <w:rPr>
          <w:rFonts w:hint="eastAsia" w:cs="宋体" w:asciiTheme="minorEastAsia" w:hAnsiTheme="minorEastAsia" w:eastAsiaTheme="minorEastAsia"/>
          <w:color w:val="auto"/>
          <w:sz w:val="24"/>
          <w:szCs w:val="24"/>
          <w:highlight w:val="none"/>
        </w:rPr>
        <w:t>在当月法定工作（学习）日接受每天不少于</w:t>
      </w:r>
      <w:r>
        <w:rPr>
          <w:rFonts w:cs="宋体"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小时的基本康复训练课程，在机构时间一般不少于</w:t>
      </w:r>
      <w:r>
        <w:rPr>
          <w:rFonts w:cs="宋体" w:asciiTheme="minorEastAsia" w:hAnsiTheme="minorEastAsia" w:eastAsiaTheme="minorEastAsia"/>
          <w:color w:val="auto"/>
          <w:sz w:val="24"/>
          <w:szCs w:val="24"/>
          <w:highlight w:val="none"/>
        </w:rPr>
        <w:t>3</w:t>
      </w:r>
      <w:r>
        <w:rPr>
          <w:rFonts w:hint="eastAsia" w:cs="宋体" w:asciiTheme="minorEastAsia" w:hAnsiTheme="minorEastAsia" w:eastAsiaTheme="minorEastAsia"/>
          <w:color w:val="auto"/>
          <w:sz w:val="24"/>
          <w:szCs w:val="24"/>
          <w:highlight w:val="none"/>
        </w:rPr>
        <w:t>小时，个性化服务支持每天不少于</w:t>
      </w: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节课</w:t>
      </w:r>
      <w:r>
        <w:rPr>
          <w:rFonts w:cs="宋体" w:asciiTheme="minorEastAsia" w:hAnsiTheme="minorEastAsia" w:eastAsiaTheme="minorEastAsia"/>
          <w:color w:val="auto"/>
          <w:sz w:val="24"/>
          <w:szCs w:val="24"/>
          <w:highlight w:val="none"/>
        </w:rPr>
        <w:t>30</w:t>
      </w:r>
      <w:r>
        <w:rPr>
          <w:rFonts w:hint="eastAsia" w:cs="宋体" w:asciiTheme="minorEastAsia" w:hAnsiTheme="minorEastAsia" w:eastAsiaTheme="minorEastAsia"/>
          <w:color w:val="auto"/>
          <w:sz w:val="24"/>
          <w:szCs w:val="24"/>
          <w:highlight w:val="none"/>
        </w:rPr>
        <w:t>分钟，</w:t>
      </w:r>
      <w:r>
        <w:rPr>
          <w:rFonts w:cs="宋体" w:asciiTheme="minorEastAsia" w:hAnsiTheme="minorEastAsia" w:eastAsiaTheme="minorEastAsia"/>
          <w:color w:val="auto"/>
          <w:sz w:val="24"/>
          <w:szCs w:val="24"/>
          <w:highlight w:val="none"/>
        </w:rPr>
        <w:t>7-17</w:t>
      </w:r>
      <w:r>
        <w:rPr>
          <w:rFonts w:hint="eastAsia" w:cs="宋体" w:asciiTheme="minorEastAsia" w:hAnsiTheme="minorEastAsia" w:eastAsiaTheme="minorEastAsia"/>
          <w:color w:val="auto"/>
          <w:sz w:val="24"/>
          <w:szCs w:val="24"/>
          <w:highlight w:val="none"/>
        </w:rPr>
        <w:t>周岁的肢体残疾儿童的个性化服务支持可根据实际情况调整。机构不安排餐食和午休，其余活动安排与全日制一致；</w:t>
      </w:r>
      <w:r>
        <w:rPr>
          <w:rFonts w:hint="eastAsia" w:cs="宋体" w:asciiTheme="minorEastAsia" w:hAnsiTheme="minorEastAsia" w:eastAsiaTheme="minorEastAsia"/>
          <w:b/>
          <w:bCs/>
          <w:color w:val="auto"/>
          <w:sz w:val="24"/>
          <w:szCs w:val="24"/>
          <w:highlight w:val="none"/>
        </w:rPr>
        <w:t>课程制，</w:t>
      </w:r>
      <w:r>
        <w:rPr>
          <w:rFonts w:hint="eastAsia" w:cs="宋体" w:asciiTheme="minorEastAsia" w:hAnsiTheme="minorEastAsia" w:eastAsiaTheme="minorEastAsia"/>
          <w:color w:val="auto"/>
          <w:sz w:val="24"/>
          <w:szCs w:val="24"/>
          <w:highlight w:val="none"/>
        </w:rPr>
        <w:t>在课余时间（含周末及节假日）接受每次</w:t>
      </w: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小时（不含课间休息和家长沟通时间）的基本康复训练课程，以个性化服务支持为主。（本条为征集人对入围供应商进行服务质量评估时的必要内容）</w:t>
      </w:r>
    </w:p>
    <w:p w14:paraId="0266BA7F">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8. 提供孤独症儿童基本康复训练服务的具体实施方案一份。</w:t>
      </w:r>
    </w:p>
    <w:p w14:paraId="3A0D4F43">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采购包五所需的场地、设备、人员可与采购包四共用。</w:t>
      </w:r>
    </w:p>
    <w:bookmarkEnd w:id="254"/>
    <w:p w14:paraId="4BA39413">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五、落实政府采购政策情况</w:t>
      </w:r>
      <w:r>
        <w:rPr>
          <w:rFonts w:hint="eastAsia" w:asciiTheme="minorEastAsia" w:hAnsiTheme="minorEastAsia" w:eastAsiaTheme="minorEastAsia"/>
          <w:color w:val="auto"/>
          <w:sz w:val="24"/>
          <w:szCs w:val="24"/>
          <w:highlight w:val="none"/>
        </w:rPr>
        <w:t xml:space="preserve"> </w:t>
      </w:r>
    </w:p>
    <w:p w14:paraId="5D747E75">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由于本项目的采购内容专业性较强，不专门面向中小企业，本项目征集活动不收取保证金。</w:t>
      </w:r>
    </w:p>
    <w:p w14:paraId="59243B60">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六、履约管理</w:t>
      </w:r>
      <w:r>
        <w:rPr>
          <w:rFonts w:hint="eastAsia" w:asciiTheme="minorEastAsia" w:hAnsiTheme="minorEastAsia" w:eastAsiaTheme="minorEastAsia"/>
          <w:color w:val="auto"/>
          <w:sz w:val="24"/>
          <w:szCs w:val="24"/>
          <w:highlight w:val="none"/>
        </w:rPr>
        <w:t xml:space="preserve"> </w:t>
      </w:r>
    </w:p>
    <w:p w14:paraId="5E06A8CA">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入围供应商的清退和补充规则：</w:t>
      </w:r>
    </w:p>
    <w:p w14:paraId="40864232">
      <w:pPr>
        <w:overflowPunct w:val="0"/>
        <w:topLinePunct/>
        <w:spacing w:line="520" w:lineRule="exact"/>
        <w:ind w:firstLine="480" w:firstLineChars="200"/>
        <w:rPr>
          <w:rFonts w:asciiTheme="minorEastAsia" w:hAnsiTheme="minorEastAsia" w:eastAsiaTheme="minorEastAsia"/>
          <w:color w:val="auto"/>
          <w:sz w:val="24"/>
          <w:szCs w:val="24"/>
          <w:highlight w:val="none"/>
        </w:rPr>
      </w:pPr>
      <w:bookmarkStart w:id="265" w:name="OLE_LINK107"/>
      <w:r>
        <w:rPr>
          <w:rFonts w:hint="eastAsia" w:cs="宋体" w:asciiTheme="minorEastAsia" w:hAnsiTheme="minorEastAsia" w:eastAsiaTheme="minorEastAsia"/>
          <w:color w:val="auto"/>
          <w:sz w:val="24"/>
          <w:szCs w:val="24"/>
          <w:highlight w:val="none"/>
        </w:rPr>
        <w:t>入围供应商有下列情形之一，尚未签订框架协议的，取消其入围资格；已经签订框架协议的，解除与其签订的框架协议：</w:t>
      </w:r>
      <w:r>
        <w:rPr>
          <w:rFonts w:hint="eastAsia" w:asciiTheme="minorEastAsia" w:hAnsiTheme="minorEastAsia" w:eastAsiaTheme="minorEastAsia"/>
          <w:color w:val="auto"/>
          <w:sz w:val="24"/>
          <w:szCs w:val="24"/>
          <w:highlight w:val="none"/>
        </w:rPr>
        <w:t> </w:t>
      </w:r>
    </w:p>
    <w:p w14:paraId="79A658D2">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①恶意串通谋取入围或者合同成交的；</w:t>
      </w:r>
      <w:r>
        <w:rPr>
          <w:rFonts w:hint="eastAsia" w:asciiTheme="minorEastAsia" w:hAnsiTheme="minorEastAsia" w:eastAsiaTheme="minorEastAsia"/>
          <w:color w:val="auto"/>
          <w:sz w:val="24"/>
          <w:szCs w:val="24"/>
          <w:highlight w:val="none"/>
        </w:rPr>
        <w:t> </w:t>
      </w:r>
    </w:p>
    <w:p w14:paraId="7DAA5643">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②提供虚假材料谋取入围或者合同成交的；</w:t>
      </w:r>
      <w:r>
        <w:rPr>
          <w:rFonts w:hint="eastAsia" w:asciiTheme="minorEastAsia" w:hAnsiTheme="minorEastAsia" w:eastAsiaTheme="minorEastAsia"/>
          <w:color w:val="auto"/>
          <w:sz w:val="24"/>
          <w:szCs w:val="24"/>
          <w:highlight w:val="none"/>
        </w:rPr>
        <w:t> </w:t>
      </w:r>
    </w:p>
    <w:p w14:paraId="0ABC50CA">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③无正当理由拒不接受合同授予的；</w:t>
      </w:r>
      <w:r>
        <w:rPr>
          <w:rFonts w:hint="eastAsia" w:asciiTheme="minorEastAsia" w:hAnsiTheme="minorEastAsia" w:eastAsiaTheme="minorEastAsia"/>
          <w:color w:val="auto"/>
          <w:sz w:val="24"/>
          <w:szCs w:val="24"/>
          <w:highlight w:val="none"/>
        </w:rPr>
        <w:t> </w:t>
      </w:r>
    </w:p>
    <w:p w14:paraId="75740004">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④不履行合同义务或者履行合同义务不符合约定，经采购人请求履行后仍不履行或者仍未按约定履行的；</w:t>
      </w:r>
      <w:r>
        <w:rPr>
          <w:rFonts w:hint="eastAsia" w:asciiTheme="minorEastAsia" w:hAnsiTheme="minorEastAsia" w:eastAsiaTheme="minorEastAsia"/>
          <w:color w:val="auto"/>
          <w:sz w:val="24"/>
          <w:szCs w:val="24"/>
          <w:highlight w:val="none"/>
        </w:rPr>
        <w:t> </w:t>
      </w:r>
    </w:p>
    <w:p w14:paraId="7E3180DA">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fldChar w:fldCharType="begin"/>
      </w:r>
      <w:r>
        <w:rPr>
          <w:rFonts w:cs="宋体" w:asciiTheme="minorEastAsia" w:hAnsiTheme="minorEastAsia" w:eastAsiaTheme="minorEastAsia"/>
          <w:color w:val="auto"/>
          <w:sz w:val="24"/>
          <w:szCs w:val="24"/>
          <w:highlight w:val="none"/>
        </w:rPr>
        <w:instrText xml:space="preserve"> </w:instrText>
      </w:r>
      <w:r>
        <w:rPr>
          <w:rFonts w:hint="eastAsia" w:cs="宋体" w:asciiTheme="minorEastAsia" w:hAnsiTheme="minorEastAsia" w:eastAsiaTheme="minorEastAsia"/>
          <w:color w:val="auto"/>
          <w:sz w:val="24"/>
          <w:szCs w:val="24"/>
          <w:highlight w:val="none"/>
        </w:rPr>
        <w:instrText xml:space="preserve">= 5 \* GB3</w:instrText>
      </w:r>
      <w:r>
        <w:rPr>
          <w:rFonts w:cs="宋体" w:asciiTheme="minorEastAsia" w:hAnsiTheme="minorEastAsia" w:eastAsiaTheme="minorEastAsia"/>
          <w:color w:val="auto"/>
          <w:sz w:val="24"/>
          <w:szCs w:val="24"/>
          <w:highlight w:val="none"/>
        </w:rPr>
        <w:instrText xml:space="preserve"> </w:instrText>
      </w:r>
      <w:r>
        <w:rPr>
          <w:rFonts w:cs="宋体" w:asciiTheme="minorEastAsia" w:hAnsiTheme="minorEastAsia" w:eastAsiaTheme="minorEastAsia"/>
          <w:color w:val="auto"/>
          <w:sz w:val="24"/>
          <w:szCs w:val="24"/>
          <w:highlight w:val="none"/>
        </w:rPr>
        <w:fldChar w:fldCharType="separate"/>
      </w:r>
      <w:r>
        <w:rPr>
          <w:rFonts w:hint="eastAsia" w:cs="宋体" w:asciiTheme="minorEastAsia" w:hAnsiTheme="minorEastAsia" w:eastAsiaTheme="minorEastAsia"/>
          <w:color w:val="auto"/>
          <w:sz w:val="24"/>
          <w:szCs w:val="24"/>
          <w:highlight w:val="none"/>
        </w:rPr>
        <w:t>⑤</w:t>
      </w:r>
      <w:r>
        <w:rPr>
          <w:rFonts w:cs="宋体" w:asciiTheme="minorEastAsia" w:hAnsiTheme="minorEastAsia" w:eastAsiaTheme="minorEastAsia"/>
          <w:color w:val="auto"/>
          <w:sz w:val="24"/>
          <w:szCs w:val="24"/>
          <w:highlight w:val="none"/>
        </w:rPr>
        <w:fldChar w:fldCharType="end"/>
      </w:r>
      <w:r>
        <w:rPr>
          <w:rFonts w:hint="eastAsia" w:cs="宋体" w:asciiTheme="minorEastAsia" w:hAnsiTheme="minorEastAsia" w:eastAsiaTheme="minorEastAsia"/>
          <w:color w:val="auto"/>
          <w:sz w:val="24"/>
          <w:szCs w:val="24"/>
          <w:highlight w:val="none"/>
        </w:rPr>
        <w:t>框架协议有效期内，因违法行为被禁止或限制参加政府采购活动的；</w:t>
      </w:r>
      <w:r>
        <w:rPr>
          <w:rFonts w:hint="eastAsia" w:asciiTheme="minorEastAsia" w:hAnsiTheme="minorEastAsia" w:eastAsiaTheme="minorEastAsia"/>
          <w:color w:val="auto"/>
          <w:sz w:val="24"/>
          <w:szCs w:val="24"/>
          <w:highlight w:val="none"/>
        </w:rPr>
        <w:t> </w:t>
      </w:r>
    </w:p>
    <w:p w14:paraId="4C291E82">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cs="宋体" w:asciiTheme="minorEastAsia" w:hAnsiTheme="minorEastAsia" w:eastAsiaTheme="minorEastAsia"/>
          <w:color w:val="auto"/>
          <w:sz w:val="24"/>
          <w:szCs w:val="24"/>
          <w:highlight w:val="none"/>
        </w:rPr>
        <w:fldChar w:fldCharType="begin"/>
      </w:r>
      <w:r>
        <w:rPr>
          <w:rFonts w:cs="宋体" w:asciiTheme="minorEastAsia" w:hAnsiTheme="minorEastAsia" w:eastAsiaTheme="minorEastAsia"/>
          <w:color w:val="auto"/>
          <w:sz w:val="24"/>
          <w:szCs w:val="24"/>
          <w:highlight w:val="none"/>
        </w:rPr>
        <w:instrText xml:space="preserve"> </w:instrText>
      </w:r>
      <w:r>
        <w:rPr>
          <w:rFonts w:hint="eastAsia" w:cs="宋体" w:asciiTheme="minorEastAsia" w:hAnsiTheme="minorEastAsia" w:eastAsiaTheme="minorEastAsia"/>
          <w:color w:val="auto"/>
          <w:sz w:val="24"/>
          <w:szCs w:val="24"/>
          <w:highlight w:val="none"/>
        </w:rPr>
        <w:instrText xml:space="preserve">= 6 \* GB3</w:instrText>
      </w:r>
      <w:r>
        <w:rPr>
          <w:rFonts w:cs="宋体" w:asciiTheme="minorEastAsia" w:hAnsiTheme="minorEastAsia" w:eastAsiaTheme="minorEastAsia"/>
          <w:color w:val="auto"/>
          <w:sz w:val="24"/>
          <w:szCs w:val="24"/>
          <w:highlight w:val="none"/>
        </w:rPr>
        <w:instrText xml:space="preserve"> </w:instrText>
      </w:r>
      <w:r>
        <w:rPr>
          <w:rFonts w:cs="宋体" w:asciiTheme="minorEastAsia" w:hAnsiTheme="minorEastAsia" w:eastAsiaTheme="minorEastAsia"/>
          <w:color w:val="auto"/>
          <w:sz w:val="24"/>
          <w:szCs w:val="24"/>
          <w:highlight w:val="none"/>
        </w:rPr>
        <w:fldChar w:fldCharType="separate"/>
      </w:r>
      <w:r>
        <w:rPr>
          <w:rFonts w:hint="eastAsia" w:cs="宋体" w:asciiTheme="minorEastAsia" w:hAnsiTheme="minorEastAsia" w:eastAsiaTheme="minorEastAsia"/>
          <w:color w:val="auto"/>
          <w:sz w:val="24"/>
          <w:szCs w:val="24"/>
          <w:highlight w:val="none"/>
        </w:rPr>
        <w:t>⑥</w:t>
      </w:r>
      <w:r>
        <w:rPr>
          <w:rFonts w:cs="宋体" w:asciiTheme="minorEastAsia" w:hAnsiTheme="minorEastAsia" w:eastAsiaTheme="minorEastAsia"/>
          <w:color w:val="auto"/>
          <w:sz w:val="24"/>
          <w:szCs w:val="24"/>
          <w:highlight w:val="none"/>
        </w:rPr>
        <w:fldChar w:fldCharType="end"/>
      </w:r>
      <w:r>
        <w:rPr>
          <w:rFonts w:hint="eastAsia" w:cs="宋体" w:asciiTheme="minorEastAsia" w:hAnsiTheme="minorEastAsia" w:eastAsiaTheme="minorEastAsia"/>
          <w:color w:val="auto"/>
          <w:sz w:val="24"/>
          <w:szCs w:val="24"/>
          <w:highlight w:val="none"/>
        </w:rPr>
        <w:t>框架协议约定的其他情形及出现《无锡市残疾儿童基本康复训练服务管理细则（2024年版）》中附件6“违规清退清单”所列情形之一的。</w:t>
      </w:r>
      <w:r>
        <w:rPr>
          <w:rFonts w:hint="eastAsia" w:asciiTheme="minorEastAsia" w:hAnsiTheme="minorEastAsia" w:eastAsiaTheme="minorEastAsia"/>
          <w:color w:val="auto"/>
          <w:sz w:val="24"/>
          <w:szCs w:val="24"/>
          <w:highlight w:val="none"/>
        </w:rPr>
        <w:t> </w:t>
      </w:r>
    </w:p>
    <w:p w14:paraId="6084500B">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被取消入围资格或者被解除框架协议的供应商不得参加同一开放式框架协议补充征集，或者重新申请加入同一开放式框架协议。供应商有上述第①至③项情形之一的，依照政府采购法等有关法律、行政法规处理，其他按相关规定处理。</w:t>
      </w:r>
    </w:p>
    <w:p w14:paraId="4EFFA8A3">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本期</w:t>
      </w:r>
      <w:r>
        <w:rPr>
          <w:rFonts w:hint="eastAsia" w:asciiTheme="minorEastAsia" w:hAnsiTheme="minorEastAsia" w:eastAsiaTheme="minorEastAsia"/>
          <w:color w:val="auto"/>
          <w:sz w:val="24"/>
          <w:szCs w:val="24"/>
          <w:highlight w:val="none"/>
        </w:rPr>
        <w:t>滨湖区残疾儿童基本康复训练服务定点机构</w:t>
      </w:r>
      <w:r>
        <w:rPr>
          <w:rFonts w:hint="eastAsia" w:cs="宋体" w:asciiTheme="minorEastAsia" w:hAnsiTheme="minorEastAsia" w:eastAsiaTheme="minorEastAsia"/>
          <w:color w:val="auto"/>
          <w:sz w:val="24"/>
          <w:szCs w:val="24"/>
          <w:highlight w:val="none"/>
        </w:rPr>
        <w:t>开放式框架协议入围供应商可以按征集公告及相关规定要求，随时申请退出框架协议。采购代理机构在收到退出申请</w:t>
      </w:r>
      <w:r>
        <w:rPr>
          <w:rFonts w:hint="eastAsia" w:asciiTheme="minorEastAsia" w:hAnsiTheme="minorEastAsia" w:eastAsiaTheme="minorEastAsia"/>
          <w:color w:val="auto"/>
          <w:sz w:val="24"/>
          <w:szCs w:val="24"/>
          <w:highlight w:val="none"/>
        </w:rPr>
        <w:t>2</w:t>
      </w:r>
      <w:r>
        <w:rPr>
          <w:rFonts w:hint="eastAsia" w:cs="宋体" w:asciiTheme="minorEastAsia" w:hAnsiTheme="minorEastAsia" w:eastAsiaTheme="minorEastAsia"/>
          <w:color w:val="auto"/>
          <w:sz w:val="24"/>
          <w:szCs w:val="24"/>
          <w:highlight w:val="none"/>
        </w:rPr>
        <w:t>个工作日内，发布入围供应商退出公告。公告期限为公告发布之日起</w:t>
      </w:r>
      <w:r>
        <w:rPr>
          <w:rFonts w:hint="eastAsia"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个工作日。各有关当事人对退出结果有异议，可以在本公告期限届满之日起七个工作日内，以书面形式提出明确的请求并提供必要的证明，逾期将不再受理。</w:t>
      </w:r>
    </w:p>
    <w:bookmarkEnd w:id="265"/>
    <w:p w14:paraId="40F54B9C">
      <w:pPr>
        <w:overflowPunct w:val="0"/>
        <w:topLinePunct/>
        <w:spacing w:line="520" w:lineRule="exact"/>
        <w:ind w:firstLine="480" w:firstLineChars="200"/>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rPr>
        <w:t>2.付款方式：</w:t>
      </w:r>
      <w:bookmarkStart w:id="266" w:name="OLE_LINK41"/>
      <w:r>
        <w:rPr>
          <w:rFonts w:hint="eastAsia" w:ascii="宋体" w:hAnsi="宋体"/>
          <w:bCs/>
          <w:color w:val="auto"/>
          <w:sz w:val="24"/>
          <w:szCs w:val="24"/>
          <w:highlight w:val="none"/>
        </w:rPr>
        <w:t>采取据实结算方式，每年一季度由市、区残联会同第三方机构对供应商的服务情况进行年度质量评估，并在二季度根据供应商实际发生的费用及考核结果结算上一年度剩余资金，对考核不达标的，按相关文件扣减结算资金，并限期整改。每年二季度根据供应商实际发生的费用结算一季度资金，每年四季度根据供应商实际发生的费用结算二季度和三季度资金</w:t>
      </w:r>
      <w:r>
        <w:rPr>
          <w:rFonts w:hint="eastAsia" w:cs="宋体" w:asciiTheme="minorEastAsia" w:hAnsiTheme="minorEastAsia" w:eastAsiaTheme="minorEastAsia"/>
          <w:color w:val="auto"/>
          <w:sz w:val="24"/>
          <w:szCs w:val="24"/>
          <w:highlight w:val="none"/>
        </w:rPr>
        <w:t>。</w:t>
      </w:r>
      <w:bookmarkEnd w:id="266"/>
    </w:p>
    <w:p w14:paraId="1D6263B6">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3. </w:t>
      </w:r>
      <w:bookmarkStart w:id="267" w:name="OLE_LINK89"/>
      <w:r>
        <w:rPr>
          <w:rFonts w:hint="eastAsia" w:cs="宋体" w:asciiTheme="minorEastAsia" w:hAnsiTheme="minorEastAsia" w:eastAsiaTheme="minorEastAsia"/>
          <w:color w:val="auto"/>
          <w:sz w:val="24"/>
          <w:szCs w:val="24"/>
          <w:highlight w:val="none"/>
        </w:rPr>
        <w:t>入围供应商为具体采购人或服务对象开具合法的发票，采购人或服务对象须按规定及时规范进行费用结算支付</w:t>
      </w:r>
      <w:bookmarkEnd w:id="267"/>
      <w:r>
        <w:rPr>
          <w:rFonts w:hint="eastAsia" w:cs="宋体" w:asciiTheme="minorEastAsia" w:hAnsiTheme="minorEastAsia" w:eastAsiaTheme="minorEastAsia"/>
          <w:color w:val="auto"/>
          <w:sz w:val="24"/>
          <w:szCs w:val="24"/>
          <w:highlight w:val="none"/>
        </w:rPr>
        <w:t>。</w:t>
      </w:r>
    </w:p>
    <w:p w14:paraId="6297EDE5">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4. </w:t>
      </w:r>
      <w:bookmarkStart w:id="268" w:name="OLE_LINK108"/>
      <w:r>
        <w:rPr>
          <w:rFonts w:hint="eastAsia" w:cs="宋体" w:asciiTheme="minorEastAsia" w:hAnsiTheme="minorEastAsia" w:eastAsiaTheme="minorEastAsia"/>
          <w:color w:val="auto"/>
          <w:sz w:val="24"/>
          <w:szCs w:val="24"/>
          <w:highlight w:val="none"/>
        </w:rPr>
        <w:t>实行政府采购供应商诚信管理制度。对供应商失信行为、不良行为等诚信信息，在本次框架协议采购实施工作中予以记录并按规定进行处理</w:t>
      </w:r>
      <w:bookmarkEnd w:id="268"/>
      <w:r>
        <w:rPr>
          <w:rFonts w:hint="eastAsia" w:cs="宋体" w:asciiTheme="minorEastAsia" w:hAnsiTheme="minorEastAsia" w:eastAsiaTheme="minorEastAsia"/>
          <w:color w:val="auto"/>
          <w:sz w:val="24"/>
          <w:szCs w:val="24"/>
          <w:highlight w:val="none"/>
        </w:rPr>
        <w:t>。</w:t>
      </w:r>
    </w:p>
    <w:p w14:paraId="798E4D8B">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5. </w:t>
      </w:r>
      <w:bookmarkStart w:id="269" w:name="OLE_LINK109"/>
      <w:r>
        <w:rPr>
          <w:rFonts w:hint="eastAsia" w:cs="宋体" w:asciiTheme="minorEastAsia" w:hAnsiTheme="minorEastAsia" w:eastAsiaTheme="minorEastAsia"/>
          <w:color w:val="auto"/>
          <w:sz w:val="24"/>
          <w:szCs w:val="24"/>
          <w:highlight w:val="none"/>
        </w:rPr>
        <w:t>在项目评审结束至协议履约期间，采购代理机构及征集人有权要求供应商出具申请文件中的相关证明材料原件，予以确认其真实性和有效性</w:t>
      </w:r>
      <w:bookmarkEnd w:id="269"/>
      <w:r>
        <w:rPr>
          <w:rFonts w:hint="eastAsia" w:cs="宋体" w:asciiTheme="minorEastAsia" w:hAnsiTheme="minorEastAsia" w:eastAsiaTheme="minorEastAsia"/>
          <w:color w:val="auto"/>
          <w:sz w:val="24"/>
          <w:szCs w:val="24"/>
          <w:highlight w:val="none"/>
        </w:rPr>
        <w:t>。</w:t>
      </w:r>
    </w:p>
    <w:p w14:paraId="6341C827">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6. </w:t>
      </w:r>
      <w:bookmarkStart w:id="270" w:name="OLE_LINK110"/>
      <w:bookmarkStart w:id="271" w:name="OLE_LINK111"/>
      <w:r>
        <w:rPr>
          <w:rFonts w:hint="eastAsia" w:cs="宋体" w:asciiTheme="minorEastAsia" w:hAnsiTheme="minorEastAsia" w:eastAsiaTheme="minorEastAsia"/>
          <w:color w:val="auto"/>
          <w:sz w:val="24"/>
          <w:szCs w:val="24"/>
          <w:highlight w:val="none"/>
        </w:rPr>
        <w:t>入围供应商应全面履行本项目实施过程中的相关安全管理职责，因入围供应商未尽到管理职责发生安全事故的，由入围供应商承担相应的法律责任和经济赔偿责任。</w:t>
      </w:r>
      <w:bookmarkEnd w:id="270"/>
      <w:bookmarkEnd w:id="271"/>
    </w:p>
    <w:p w14:paraId="6DA86757">
      <w:pPr>
        <w:overflowPunct w:val="0"/>
        <w:topLinePunct/>
        <w:spacing w:line="520" w:lineRule="exact"/>
        <w:ind w:firstLine="480" w:firstLineChars="200"/>
        <w:rPr>
          <w:rFonts w:asciiTheme="minorEastAsia" w:hAnsiTheme="minorEastAsia" w:eastAsiaTheme="minorEastAsia"/>
          <w:color w:val="auto"/>
          <w:sz w:val="24"/>
          <w:szCs w:val="24"/>
          <w:highlight w:val="none"/>
        </w:rPr>
      </w:pPr>
      <w:r>
        <w:rPr>
          <w:rFonts w:hint="eastAsia" w:asciiTheme="minorEastAsia" w:hAnsiTheme="minorEastAsia" w:eastAsiaTheme="minorEastAsia"/>
          <w:color w:val="auto"/>
          <w:sz w:val="24"/>
          <w:szCs w:val="24"/>
          <w:highlight w:val="none"/>
        </w:rPr>
        <w:t xml:space="preserve">7. </w:t>
      </w:r>
      <w:bookmarkStart w:id="272" w:name="OLE_LINK112"/>
      <w:r>
        <w:rPr>
          <w:rFonts w:hint="eastAsia" w:cs="宋体" w:asciiTheme="minorEastAsia" w:hAnsiTheme="minorEastAsia" w:eastAsiaTheme="minorEastAsia"/>
          <w:color w:val="auto"/>
          <w:sz w:val="24"/>
          <w:szCs w:val="24"/>
          <w:highlight w:val="none"/>
        </w:rPr>
        <w:t>入围供应商应对项目资金进行规范的财务管理和会计核算，加强自身监督，确保资金规范管理和使用，按要求向征集人提供资金的使用情况、项目执行情况、成果总结等材料，并配合征集人及征集人组织的监督检查或绩效评价，无条件接受和配合征集人或征集人委托的会计师事务所进行的与本协议相关的审计。</w:t>
      </w:r>
      <w:bookmarkEnd w:id="272"/>
    </w:p>
    <w:p w14:paraId="4B2D0F32">
      <w:pPr>
        <w:spacing w:line="360" w:lineRule="auto"/>
        <w:ind w:firstLine="480"/>
        <w:jc w:val="left"/>
        <w:rPr>
          <w:rFonts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其他有关说明</w:t>
      </w:r>
    </w:p>
    <w:p w14:paraId="1902866F">
      <w:pPr>
        <w:numPr>
          <w:ilvl w:val="1"/>
          <w:numId w:val="5"/>
        </w:numPr>
        <w:tabs>
          <w:tab w:val="left" w:pos="525"/>
          <w:tab w:val="left" w:pos="630"/>
          <w:tab w:val="left" w:pos="735"/>
          <w:tab w:val="left" w:pos="945"/>
          <w:tab w:val="clear" w:pos="780"/>
        </w:tabs>
        <w:spacing w:line="360" w:lineRule="auto"/>
        <w:ind w:left="0" w:firstLine="480"/>
        <w:rPr>
          <w:rFonts w:ascii="宋体" w:hAnsi="宋体"/>
          <w:bCs/>
          <w:color w:val="auto"/>
          <w:sz w:val="24"/>
          <w:highlight w:val="none"/>
        </w:rPr>
      </w:pPr>
      <w:r>
        <w:rPr>
          <w:rFonts w:hint="eastAsia" w:ascii="宋体" w:hAnsi="宋体"/>
          <w:bCs/>
          <w:color w:val="auto"/>
          <w:sz w:val="24"/>
          <w:highlight w:val="none"/>
        </w:rPr>
        <w:t>供应商须自行准备设备（包括但不限于笔记本电脑、无线网络）登录</w:t>
      </w:r>
      <w:r>
        <w:rPr>
          <w:rFonts w:hint="eastAsia" w:ascii="宋体" w:hAnsi="宋体"/>
          <w:bCs/>
          <w:color w:val="auto"/>
          <w:sz w:val="24"/>
          <w:szCs w:val="24"/>
          <w:highlight w:val="none"/>
        </w:rPr>
        <w:t>“苏采云”系统</w:t>
      </w:r>
      <w:r>
        <w:rPr>
          <w:rFonts w:hint="eastAsia" w:ascii="宋体" w:hAnsi="宋体"/>
          <w:bCs/>
          <w:color w:val="auto"/>
          <w:sz w:val="24"/>
          <w:highlight w:val="none"/>
        </w:rPr>
        <w:t>，按规定时间解密，解密后，在评审过程中保持在线，等待评审小组的询问和评审结果，中途不得离开。如未按要求应答，由此所产生的损失及风险由供应商自行承担。</w:t>
      </w:r>
    </w:p>
    <w:p w14:paraId="236A1E79">
      <w:pPr>
        <w:spacing w:line="360" w:lineRule="auto"/>
        <w:ind w:firstLine="480"/>
        <w:rPr>
          <w:rFonts w:ascii="黑体" w:hAnsi="黑体" w:eastAsia="黑体"/>
          <w:color w:val="auto"/>
          <w:sz w:val="36"/>
          <w:szCs w:val="36"/>
          <w:highlight w:val="none"/>
        </w:rPr>
      </w:pPr>
      <w:r>
        <w:rPr>
          <w:rFonts w:ascii="宋体" w:hAnsi="宋体"/>
          <w:bCs/>
          <w:color w:val="auto"/>
          <w:sz w:val="24"/>
          <w:highlight w:val="none"/>
        </w:rPr>
        <w:br w:type="page" w:clear="all"/>
      </w:r>
      <w:bookmarkStart w:id="273" w:name="_Toc120614281"/>
    </w:p>
    <w:p w14:paraId="35C7ACFF">
      <w:pPr>
        <w:tabs>
          <w:tab w:val="left" w:pos="1440"/>
        </w:tabs>
        <w:spacing w:line="500" w:lineRule="exact"/>
        <w:jc w:val="center"/>
        <w:outlineLvl w:val="0"/>
        <w:rPr>
          <w:rFonts w:ascii="黑体" w:hAnsi="黑体" w:eastAsia="黑体"/>
          <w:color w:val="auto"/>
          <w:sz w:val="36"/>
          <w:szCs w:val="36"/>
          <w:highlight w:val="none"/>
        </w:rPr>
      </w:pPr>
      <w:r>
        <w:rPr>
          <w:rFonts w:hint="eastAsia" w:ascii="黑体" w:hAnsi="黑体" w:eastAsia="黑体"/>
          <w:color w:val="auto"/>
          <w:sz w:val="36"/>
          <w:szCs w:val="36"/>
          <w:highlight w:val="none"/>
        </w:rPr>
        <w:t>第五章  评审方法与评审标准</w:t>
      </w:r>
    </w:p>
    <w:p w14:paraId="20B03737">
      <w:pPr>
        <w:pStyle w:val="243"/>
        <w:spacing w:before="0" w:after="0" w:line="500" w:lineRule="exact"/>
        <w:ind w:firstLine="562"/>
        <w:rPr>
          <w:rFonts w:ascii="宋体" w:hAnsi="宋体" w:cs="Arial"/>
          <w:b/>
          <w:color w:val="auto"/>
          <w:sz w:val="28"/>
          <w:szCs w:val="28"/>
          <w:highlight w:val="none"/>
        </w:rPr>
      </w:pPr>
      <w:r>
        <w:rPr>
          <w:rFonts w:hint="eastAsia" w:ascii="宋体" w:hAnsi="宋体" w:cs="Arial"/>
          <w:b/>
          <w:color w:val="auto"/>
          <w:sz w:val="28"/>
          <w:szCs w:val="28"/>
          <w:highlight w:val="none"/>
        </w:rPr>
        <w:t>确定第一阶段入围供应商的评审方法与评审标准</w:t>
      </w:r>
    </w:p>
    <w:p w14:paraId="50EDB894">
      <w:pPr>
        <w:pStyle w:val="243"/>
        <w:spacing w:line="500" w:lineRule="exact"/>
        <w:rPr>
          <w:rFonts w:ascii="宋体" w:hAnsi="宋体"/>
          <w:bCs/>
          <w:color w:val="auto"/>
          <w:highlight w:val="none"/>
        </w:rPr>
      </w:pPr>
      <w:r>
        <w:rPr>
          <w:rFonts w:hint="eastAsia" w:ascii="宋体" w:hAnsi="宋体"/>
          <w:bCs/>
          <w:color w:val="auto"/>
          <w:highlight w:val="none"/>
        </w:rPr>
        <w:t>1.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p>
    <w:p w14:paraId="4ACED736">
      <w:pPr>
        <w:pStyle w:val="243"/>
        <w:spacing w:line="500" w:lineRule="exact"/>
        <w:rPr>
          <w:rFonts w:ascii="宋体" w:hAnsi="宋体"/>
          <w:b/>
          <w:bCs/>
          <w:color w:val="auto"/>
          <w:highlight w:val="none"/>
        </w:rPr>
      </w:pPr>
      <w:r>
        <w:rPr>
          <w:rFonts w:hint="eastAsia" w:ascii="宋体" w:hAnsi="宋体"/>
          <w:b/>
          <w:bCs/>
          <w:color w:val="auto"/>
          <w:highlight w:val="none"/>
        </w:rPr>
        <w:t>2.按照中华人民共和国财政部令第110号《政府采购框架协议采购方式管理暂行办法》，本项目实际采用的评审方法为：通过审核合格（通过资格审查和符合性审查）即入围的方法，即满足审核条件和内容的供应商作为入围供应商的评审方法。</w:t>
      </w:r>
    </w:p>
    <w:p w14:paraId="0A6AA769">
      <w:pPr>
        <w:pStyle w:val="243"/>
        <w:spacing w:line="500" w:lineRule="exact"/>
        <w:rPr>
          <w:rFonts w:ascii="宋体" w:hAnsi="宋体"/>
          <w:b/>
          <w:bCs/>
          <w:color w:val="auto"/>
          <w:highlight w:val="none"/>
        </w:rPr>
      </w:pPr>
      <w:r>
        <w:rPr>
          <w:rFonts w:hint="eastAsia" w:ascii="宋体" w:hAnsi="宋体"/>
          <w:b/>
          <w:bCs/>
          <w:color w:val="auto"/>
          <w:highlight w:val="none"/>
        </w:rPr>
        <w:t>3.各供应商优惠率均报0%即可。</w:t>
      </w:r>
    </w:p>
    <w:p w14:paraId="1DF384F8">
      <w:pPr>
        <w:pStyle w:val="243"/>
        <w:spacing w:line="500" w:lineRule="exact"/>
        <w:rPr>
          <w:rFonts w:ascii="宋体" w:hAnsi="宋体"/>
          <w:b/>
          <w:bCs/>
          <w:color w:val="auto"/>
          <w:highlight w:val="none"/>
        </w:rPr>
      </w:pPr>
      <w:r>
        <w:rPr>
          <w:rFonts w:hint="eastAsia" w:ascii="宋体" w:hAnsi="宋体"/>
          <w:b/>
          <w:bCs/>
          <w:color w:val="auto"/>
          <w:highlight w:val="none"/>
        </w:rPr>
        <w:t>4.报价（优惠率）不作为评审因素。</w:t>
      </w:r>
    </w:p>
    <w:p w14:paraId="1B78B4CD">
      <w:pPr>
        <w:pStyle w:val="243"/>
        <w:spacing w:before="0" w:after="0" w:line="500" w:lineRule="exact"/>
        <w:rPr>
          <w:rFonts w:ascii="宋体" w:hAnsi="宋体"/>
          <w:bCs/>
          <w:color w:val="auto"/>
          <w:highlight w:val="none"/>
        </w:rPr>
      </w:pPr>
    </w:p>
    <w:p w14:paraId="4F9266CC">
      <w:pPr>
        <w:pStyle w:val="243"/>
        <w:spacing w:before="0" w:after="0" w:line="500" w:lineRule="exact"/>
        <w:rPr>
          <w:rFonts w:ascii="宋体" w:hAnsi="宋体"/>
          <w:bCs/>
          <w:color w:val="auto"/>
          <w:highlight w:val="none"/>
        </w:rPr>
      </w:pPr>
    </w:p>
    <w:p w14:paraId="2EB6B56C">
      <w:pPr>
        <w:pStyle w:val="243"/>
        <w:spacing w:before="0" w:after="0" w:line="500" w:lineRule="exact"/>
        <w:rPr>
          <w:rFonts w:ascii="宋体" w:hAnsi="宋体"/>
          <w:bCs/>
          <w:color w:val="auto"/>
          <w:highlight w:val="none"/>
        </w:rPr>
      </w:pPr>
    </w:p>
    <w:p w14:paraId="08111618">
      <w:pPr>
        <w:pStyle w:val="243"/>
        <w:spacing w:before="0" w:after="0" w:line="500" w:lineRule="exact"/>
        <w:rPr>
          <w:rFonts w:ascii="宋体" w:hAnsi="宋体"/>
          <w:bCs/>
          <w:color w:val="auto"/>
          <w:highlight w:val="none"/>
        </w:rPr>
      </w:pPr>
    </w:p>
    <w:p w14:paraId="1B91AB9E">
      <w:pPr>
        <w:pStyle w:val="243"/>
        <w:spacing w:before="0" w:after="0" w:line="500" w:lineRule="exact"/>
        <w:rPr>
          <w:rFonts w:ascii="宋体" w:hAnsi="宋体"/>
          <w:bCs/>
          <w:color w:val="auto"/>
          <w:highlight w:val="none"/>
        </w:rPr>
      </w:pPr>
    </w:p>
    <w:p w14:paraId="1F8329F1">
      <w:pPr>
        <w:pStyle w:val="243"/>
        <w:spacing w:before="0" w:after="0" w:line="500" w:lineRule="exact"/>
        <w:rPr>
          <w:rFonts w:ascii="宋体" w:hAnsi="宋体"/>
          <w:bCs/>
          <w:color w:val="auto"/>
          <w:highlight w:val="none"/>
        </w:rPr>
      </w:pPr>
    </w:p>
    <w:p w14:paraId="69319C21">
      <w:pPr>
        <w:pStyle w:val="243"/>
        <w:spacing w:before="0" w:after="0" w:line="500" w:lineRule="exact"/>
        <w:rPr>
          <w:rFonts w:ascii="宋体" w:hAnsi="宋体"/>
          <w:bCs/>
          <w:color w:val="auto"/>
          <w:highlight w:val="none"/>
        </w:rPr>
      </w:pPr>
    </w:p>
    <w:p w14:paraId="6A7A42CC">
      <w:pPr>
        <w:pStyle w:val="243"/>
        <w:spacing w:before="0" w:after="0" w:line="500" w:lineRule="exact"/>
        <w:rPr>
          <w:rFonts w:ascii="宋体" w:hAnsi="宋体"/>
          <w:bCs/>
          <w:color w:val="auto"/>
          <w:highlight w:val="none"/>
        </w:rPr>
      </w:pPr>
    </w:p>
    <w:p w14:paraId="516DE931">
      <w:pPr>
        <w:pStyle w:val="243"/>
        <w:spacing w:before="0" w:after="0" w:line="500" w:lineRule="exact"/>
        <w:rPr>
          <w:rFonts w:ascii="宋体" w:hAnsi="宋体"/>
          <w:bCs/>
          <w:color w:val="auto"/>
          <w:highlight w:val="none"/>
        </w:rPr>
      </w:pPr>
    </w:p>
    <w:p w14:paraId="5B2DF4CD">
      <w:pPr>
        <w:pStyle w:val="243"/>
        <w:spacing w:before="0" w:after="0" w:line="500" w:lineRule="exact"/>
        <w:rPr>
          <w:rFonts w:ascii="宋体" w:hAnsi="宋体"/>
          <w:bCs/>
          <w:color w:val="auto"/>
          <w:highlight w:val="none"/>
        </w:rPr>
      </w:pPr>
    </w:p>
    <w:p w14:paraId="06F2F273">
      <w:pPr>
        <w:pStyle w:val="243"/>
        <w:spacing w:before="0" w:after="0" w:line="500" w:lineRule="exact"/>
        <w:rPr>
          <w:rFonts w:ascii="宋体" w:hAnsi="宋体"/>
          <w:bCs/>
          <w:color w:val="auto"/>
          <w:highlight w:val="none"/>
        </w:rPr>
      </w:pPr>
    </w:p>
    <w:p w14:paraId="52489E75">
      <w:pPr>
        <w:pStyle w:val="243"/>
        <w:spacing w:before="0" w:after="0" w:line="500" w:lineRule="exact"/>
        <w:rPr>
          <w:rFonts w:ascii="宋体" w:hAnsi="宋体"/>
          <w:bCs/>
          <w:color w:val="auto"/>
          <w:highlight w:val="none"/>
        </w:rPr>
      </w:pPr>
    </w:p>
    <w:p w14:paraId="0B988C32">
      <w:pPr>
        <w:pStyle w:val="243"/>
        <w:spacing w:before="0" w:after="0" w:line="500" w:lineRule="exact"/>
        <w:rPr>
          <w:rFonts w:ascii="宋体" w:hAnsi="宋体"/>
          <w:bCs/>
          <w:color w:val="auto"/>
          <w:highlight w:val="none"/>
        </w:rPr>
      </w:pPr>
    </w:p>
    <w:p w14:paraId="4DBF67C1">
      <w:pPr>
        <w:pStyle w:val="243"/>
        <w:spacing w:before="0" w:after="0" w:line="500" w:lineRule="exact"/>
        <w:rPr>
          <w:rFonts w:ascii="宋体" w:hAnsi="宋体"/>
          <w:bCs/>
          <w:color w:val="auto"/>
          <w:highlight w:val="none"/>
        </w:rPr>
      </w:pPr>
    </w:p>
    <w:p w14:paraId="787AAAD4">
      <w:pPr>
        <w:pStyle w:val="243"/>
        <w:spacing w:before="0" w:after="0" w:line="500" w:lineRule="exact"/>
        <w:ind w:firstLine="562"/>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第六章  </w:t>
      </w:r>
      <w:bookmarkEnd w:id="244"/>
      <w:bookmarkEnd w:id="245"/>
      <w:bookmarkEnd w:id="273"/>
      <w:r>
        <w:rPr>
          <w:rFonts w:hint="eastAsia" w:ascii="黑体" w:hAnsi="黑体" w:eastAsia="黑体"/>
          <w:color w:val="auto"/>
          <w:sz w:val="36"/>
          <w:szCs w:val="36"/>
          <w:highlight w:val="none"/>
        </w:rPr>
        <w:t>响应文件内容与格式</w:t>
      </w:r>
    </w:p>
    <w:p w14:paraId="7FE8DF19">
      <w:pPr>
        <w:pStyle w:val="243"/>
        <w:spacing w:before="0" w:after="0" w:line="500" w:lineRule="exact"/>
        <w:ind w:firstLine="602"/>
        <w:rPr>
          <w:rFonts w:cs="Arial"/>
          <w:b/>
          <w:color w:val="auto"/>
          <w:sz w:val="28"/>
          <w:szCs w:val="28"/>
          <w:highlight w:val="none"/>
        </w:rPr>
      </w:pPr>
      <w:bookmarkStart w:id="274" w:name="_Hlt26955039"/>
      <w:bookmarkEnd w:id="274"/>
      <w:bookmarkStart w:id="275" w:name="_Hlt26671244"/>
      <w:bookmarkEnd w:id="275"/>
      <w:bookmarkStart w:id="276" w:name="_Toc26554094"/>
      <w:bookmarkStart w:id="277" w:name="_Toc120614282"/>
      <w:bookmarkStart w:id="278" w:name="_Toc49090576"/>
      <w:r>
        <w:rPr>
          <w:rFonts w:hint="eastAsia" w:cs="Arial"/>
          <w:b/>
          <w:color w:val="auto"/>
          <w:sz w:val="28"/>
          <w:szCs w:val="28"/>
          <w:highlight w:val="none"/>
        </w:rPr>
        <w:t>第一部分  响应文件内容</w:t>
      </w:r>
    </w:p>
    <w:p w14:paraId="4F9F7AA2">
      <w:pPr>
        <w:pStyle w:val="243"/>
        <w:spacing w:before="0" w:after="0" w:line="500" w:lineRule="exact"/>
        <w:ind w:firstLine="0"/>
        <w:rPr>
          <w:rFonts w:cs="Arial"/>
          <w:b/>
          <w:color w:val="auto"/>
          <w:sz w:val="28"/>
          <w:szCs w:val="28"/>
          <w:highlight w:val="none"/>
        </w:rPr>
      </w:pPr>
      <w:r>
        <w:rPr>
          <w:b/>
          <w:color w:val="auto"/>
          <w:sz w:val="28"/>
          <w:szCs w:val="28"/>
          <w:highlight w:val="none"/>
        </w:rPr>
        <w:t>一、</w:t>
      </w:r>
      <w:r>
        <w:rPr>
          <w:rFonts w:hint="eastAsia"/>
          <w:b/>
          <w:color w:val="auto"/>
          <w:sz w:val="28"/>
          <w:szCs w:val="28"/>
          <w:highlight w:val="none"/>
        </w:rPr>
        <w:t>资格证明文件</w:t>
      </w:r>
    </w:p>
    <w:tbl>
      <w:tblPr>
        <w:tblStyle w:val="48"/>
        <w:tblW w:w="8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016"/>
      </w:tblGrid>
      <w:tr w14:paraId="519F4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vAlign w:val="center"/>
          </w:tcPr>
          <w:p w14:paraId="58EA77D9">
            <w:pPr>
              <w:pStyle w:val="243"/>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vAlign w:val="center"/>
          </w:tcPr>
          <w:p w14:paraId="360497E0">
            <w:pPr>
              <w:pStyle w:val="243"/>
              <w:spacing w:before="0" w:after="0" w:line="240" w:lineRule="auto"/>
              <w:jc w:val="center"/>
              <w:rPr>
                <w:rFonts w:ascii="宋体" w:hAnsi="宋体" w:cs="宋体"/>
                <w:b/>
                <w:color w:val="auto"/>
                <w:highlight w:val="none"/>
              </w:rPr>
            </w:pPr>
            <w:r>
              <w:rPr>
                <w:rFonts w:hint="eastAsia" w:ascii="宋体" w:hAnsi="宋体" w:cs="宋体"/>
                <w:b/>
                <w:color w:val="auto"/>
                <w:highlight w:val="none"/>
              </w:rPr>
              <w:t>评审项目及评审要求</w:t>
            </w:r>
          </w:p>
        </w:tc>
        <w:tc>
          <w:tcPr>
            <w:tcW w:w="2016" w:type="dxa"/>
            <w:vAlign w:val="center"/>
          </w:tcPr>
          <w:p w14:paraId="69433042">
            <w:pPr>
              <w:pStyle w:val="243"/>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0B8BC6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vAlign w:val="center"/>
          </w:tcPr>
          <w:p w14:paraId="65EF1717">
            <w:pPr>
              <w:pStyle w:val="243"/>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vAlign w:val="center"/>
          </w:tcPr>
          <w:p w14:paraId="2055C744">
            <w:pPr>
              <w:pStyle w:val="243"/>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具有独立承担民事责任能力的供应商营业执照或相关部门的登记证明文件扫描件。</w:t>
            </w:r>
          </w:p>
        </w:tc>
        <w:tc>
          <w:tcPr>
            <w:tcW w:w="2016" w:type="dxa"/>
            <w:vMerge w:val="restart"/>
            <w:vAlign w:val="center"/>
          </w:tcPr>
          <w:p w14:paraId="15CA437D">
            <w:pPr>
              <w:pStyle w:val="243"/>
              <w:spacing w:before="0" w:after="0" w:line="240" w:lineRule="auto"/>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67B43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vAlign w:val="center"/>
          </w:tcPr>
          <w:p w14:paraId="0C44A65D">
            <w:pPr>
              <w:pStyle w:val="243"/>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vAlign w:val="center"/>
          </w:tcPr>
          <w:p w14:paraId="40AEFE73">
            <w:pPr>
              <w:pStyle w:val="243"/>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①《授权委托书》（给定格式；供应商如是法定代表人亲自参与采购活动的，可不提供）。②</w:t>
            </w:r>
            <w:r>
              <w:rPr>
                <w:rFonts w:hint="eastAsia" w:ascii="宋体" w:hAnsi="宋体"/>
                <w:bCs/>
                <w:color w:val="auto"/>
                <w:highlight w:val="none"/>
              </w:rPr>
              <w:t>供应商</w:t>
            </w:r>
            <w:r>
              <w:rPr>
                <w:rFonts w:hint="eastAsia" w:ascii="宋体" w:hAnsi="宋体" w:cs="宋体"/>
                <w:bCs/>
                <w:color w:val="auto"/>
                <w:highlight w:val="none"/>
              </w:rPr>
              <w:t>近一年内任意一个月</w:t>
            </w:r>
            <w:r>
              <w:rPr>
                <w:rFonts w:hint="eastAsia" w:ascii="宋体" w:hAnsi="宋体"/>
                <w:bCs/>
                <w:color w:val="auto"/>
                <w:highlight w:val="none"/>
              </w:rPr>
              <w:t>为其法定代表人授权代表缴纳社保的证明（</w:t>
            </w:r>
            <w:r>
              <w:rPr>
                <w:rFonts w:hint="eastAsia" w:ascii="宋体" w:hAnsi="宋体"/>
                <w:b/>
                <w:bCs/>
                <w:color w:val="auto"/>
                <w:highlight w:val="none"/>
              </w:rPr>
              <w:t>由相关主管部门出具，新成立公司除外、法定代表人亲自参加征集活动的除外</w:t>
            </w:r>
            <w:r>
              <w:rPr>
                <w:rFonts w:hint="eastAsia" w:ascii="宋体" w:hAnsi="宋体"/>
                <w:bCs/>
                <w:color w:val="auto"/>
                <w:highlight w:val="none"/>
              </w:rPr>
              <w:t>）</w:t>
            </w:r>
          </w:p>
        </w:tc>
        <w:tc>
          <w:tcPr>
            <w:tcW w:w="2016" w:type="dxa"/>
            <w:vMerge w:val="continue"/>
            <w:vAlign w:val="center"/>
          </w:tcPr>
          <w:p w14:paraId="14645241">
            <w:pPr>
              <w:pStyle w:val="243"/>
              <w:spacing w:before="0" w:after="0" w:line="240" w:lineRule="auto"/>
              <w:ind w:firstLine="0"/>
              <w:rPr>
                <w:rFonts w:ascii="宋体" w:hAnsi="宋体" w:cs="宋体"/>
                <w:color w:val="auto"/>
                <w:highlight w:val="none"/>
              </w:rPr>
            </w:pPr>
          </w:p>
        </w:tc>
      </w:tr>
      <w:tr w14:paraId="7B022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vAlign w:val="center"/>
          </w:tcPr>
          <w:p w14:paraId="08C46D99">
            <w:pPr>
              <w:pStyle w:val="243"/>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vAlign w:val="center"/>
          </w:tcPr>
          <w:p w14:paraId="72AD4C56">
            <w:pPr>
              <w:pStyle w:val="243"/>
              <w:spacing w:before="0" w:after="0" w:line="240" w:lineRule="auto"/>
              <w:ind w:firstLine="0"/>
              <w:jc w:val="both"/>
              <w:rPr>
                <w:rFonts w:ascii="宋体" w:hAnsi="宋体" w:cs="宋体"/>
                <w:color w:val="auto"/>
                <w:highlight w:val="none"/>
              </w:rPr>
            </w:pPr>
            <w:r>
              <w:rPr>
                <w:rFonts w:hint="eastAsia" w:ascii="宋体" w:hAnsi="宋体" w:cs="宋体"/>
                <w:bCs/>
                <w:color w:val="auto"/>
                <w:highlight w:val="none"/>
              </w:rPr>
              <w:t>供应商2025年9月、2025年10月、2025年11月中任意一个月的财务状况报告（资产负债表和利润表），或由会计师事务所出具的2024年度审计报告和所附已审财务报告</w:t>
            </w:r>
            <w:r>
              <w:rPr>
                <w:rFonts w:hint="eastAsia" w:ascii="宋体" w:hAnsi="宋体" w:cs="宋体"/>
                <w:color w:val="auto"/>
                <w:highlight w:val="none"/>
              </w:rPr>
              <w:t>原件扫描件</w:t>
            </w:r>
            <w:r>
              <w:rPr>
                <w:rStyle w:val="56"/>
                <w:rFonts w:hint="eastAsia" w:ascii="宋体" w:hAnsi="宋体" w:cs="宋体"/>
                <w:color w:val="auto"/>
                <w:sz w:val="24"/>
                <w:szCs w:val="24"/>
                <w:highlight w:val="none"/>
              </w:rPr>
              <w:t>。</w:t>
            </w:r>
          </w:p>
        </w:tc>
        <w:tc>
          <w:tcPr>
            <w:tcW w:w="2016" w:type="dxa"/>
            <w:vMerge w:val="continue"/>
            <w:vAlign w:val="center"/>
          </w:tcPr>
          <w:p w14:paraId="7D568390">
            <w:pPr>
              <w:pStyle w:val="243"/>
              <w:spacing w:before="0" w:after="0" w:line="240" w:lineRule="auto"/>
              <w:ind w:firstLine="0"/>
              <w:rPr>
                <w:rFonts w:ascii="宋体" w:hAnsi="宋体" w:cs="宋体"/>
                <w:color w:val="auto"/>
                <w:highlight w:val="none"/>
              </w:rPr>
            </w:pPr>
          </w:p>
        </w:tc>
      </w:tr>
      <w:tr w14:paraId="7D0EC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vAlign w:val="center"/>
          </w:tcPr>
          <w:p w14:paraId="1C048772">
            <w:pPr>
              <w:pStyle w:val="243"/>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vAlign w:val="center"/>
          </w:tcPr>
          <w:p w14:paraId="74CCE3EC">
            <w:pPr>
              <w:pStyle w:val="243"/>
              <w:spacing w:before="0" w:after="0" w:line="240" w:lineRule="auto"/>
              <w:ind w:firstLine="0"/>
              <w:jc w:val="both"/>
              <w:rPr>
                <w:rFonts w:ascii="宋体" w:hAnsi="宋体" w:cs="宋体"/>
                <w:color w:val="auto"/>
                <w:highlight w:val="none"/>
              </w:rPr>
            </w:pPr>
            <w:r>
              <w:rPr>
                <w:rFonts w:hint="eastAsia" w:ascii="宋体" w:hAnsi="宋体" w:cs="宋体"/>
                <w:bCs/>
                <w:color w:val="auto"/>
                <w:highlight w:val="none"/>
              </w:rPr>
              <w:t>供应商2025年9月、2025年10月、2025年11月中任意一个月的依法缴纳税收的相关材料（提供相关主管部门证明或银行代扣证明）</w:t>
            </w:r>
            <w:r>
              <w:rPr>
                <w:rFonts w:hint="eastAsia" w:ascii="宋体" w:hAnsi="宋体" w:cs="宋体"/>
                <w:color w:val="auto"/>
                <w:highlight w:val="none"/>
              </w:rPr>
              <w:t>扫描件。</w:t>
            </w:r>
          </w:p>
        </w:tc>
        <w:tc>
          <w:tcPr>
            <w:tcW w:w="2016" w:type="dxa"/>
            <w:vMerge w:val="continue"/>
            <w:vAlign w:val="center"/>
          </w:tcPr>
          <w:p w14:paraId="7350C7D2">
            <w:pPr>
              <w:pStyle w:val="243"/>
              <w:spacing w:before="0" w:after="0" w:line="240" w:lineRule="auto"/>
              <w:ind w:firstLine="0"/>
              <w:rPr>
                <w:rFonts w:ascii="宋体" w:hAnsi="宋体" w:cs="宋体"/>
                <w:color w:val="auto"/>
                <w:highlight w:val="none"/>
              </w:rPr>
            </w:pPr>
          </w:p>
        </w:tc>
      </w:tr>
      <w:tr w14:paraId="1A5C5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vAlign w:val="center"/>
          </w:tcPr>
          <w:p w14:paraId="3A6E8A85">
            <w:pPr>
              <w:pStyle w:val="243"/>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vAlign w:val="center"/>
          </w:tcPr>
          <w:p w14:paraId="3DC4F0C0">
            <w:pPr>
              <w:pStyle w:val="243"/>
              <w:spacing w:before="0" w:after="0" w:line="240" w:lineRule="auto"/>
              <w:ind w:firstLine="0"/>
              <w:jc w:val="both"/>
              <w:rPr>
                <w:rFonts w:ascii="宋体" w:hAnsi="宋体" w:cs="宋体"/>
                <w:color w:val="auto"/>
                <w:highlight w:val="none"/>
              </w:rPr>
            </w:pPr>
            <w:r>
              <w:rPr>
                <w:rFonts w:hint="eastAsia" w:ascii="宋体" w:hAnsi="宋体" w:cs="宋体"/>
                <w:bCs/>
                <w:color w:val="auto"/>
                <w:highlight w:val="none"/>
              </w:rPr>
              <w:t>供应商2025年9月、2025年10月、2025年11月中任意一个月的依法缴纳社会保障资金的相关材料（提供相关主管部门证明或银行代扣证明）</w:t>
            </w:r>
            <w:r>
              <w:rPr>
                <w:rFonts w:hint="eastAsia" w:ascii="宋体" w:hAnsi="宋体" w:cs="宋体"/>
                <w:color w:val="auto"/>
                <w:highlight w:val="none"/>
              </w:rPr>
              <w:t>扫描件。</w:t>
            </w:r>
          </w:p>
        </w:tc>
        <w:tc>
          <w:tcPr>
            <w:tcW w:w="2016" w:type="dxa"/>
            <w:vMerge w:val="continue"/>
            <w:vAlign w:val="center"/>
          </w:tcPr>
          <w:p w14:paraId="4754C6D3">
            <w:pPr>
              <w:pStyle w:val="243"/>
              <w:spacing w:before="0" w:after="0" w:line="240" w:lineRule="auto"/>
              <w:ind w:firstLine="0"/>
              <w:rPr>
                <w:rFonts w:ascii="宋体" w:hAnsi="宋体" w:cs="宋体"/>
                <w:color w:val="auto"/>
                <w:highlight w:val="none"/>
              </w:rPr>
            </w:pPr>
          </w:p>
        </w:tc>
      </w:tr>
      <w:tr w14:paraId="08387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tcBorders>
              <w:bottom w:val="single" w:color="000000" w:sz="4" w:space="0"/>
            </w:tcBorders>
            <w:vAlign w:val="center"/>
          </w:tcPr>
          <w:p w14:paraId="6328A039">
            <w:pPr>
              <w:pStyle w:val="243"/>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tcBorders>
              <w:bottom w:val="single" w:color="000000" w:sz="4" w:space="0"/>
            </w:tcBorders>
            <w:vAlign w:val="center"/>
          </w:tcPr>
          <w:p w14:paraId="289799D4">
            <w:pPr>
              <w:pStyle w:val="243"/>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016" w:type="dxa"/>
            <w:vMerge w:val="continue"/>
            <w:vAlign w:val="center"/>
          </w:tcPr>
          <w:p w14:paraId="5AF51BCD">
            <w:pPr>
              <w:pStyle w:val="243"/>
              <w:spacing w:before="0" w:after="0" w:line="240" w:lineRule="auto"/>
              <w:ind w:firstLine="0"/>
              <w:rPr>
                <w:rFonts w:ascii="宋体" w:hAnsi="宋体" w:cs="宋体"/>
                <w:color w:val="auto"/>
                <w:highlight w:val="none"/>
              </w:rPr>
            </w:pPr>
          </w:p>
        </w:tc>
      </w:tr>
      <w:tr w14:paraId="62168C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0" w:hRule="atLeast"/>
          <w:jc w:val="center"/>
        </w:trPr>
        <w:tc>
          <w:tcPr>
            <w:tcW w:w="719" w:type="dxa"/>
            <w:vAlign w:val="center"/>
          </w:tcPr>
          <w:p w14:paraId="55EF80F1">
            <w:pPr>
              <w:pStyle w:val="243"/>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7</w:t>
            </w:r>
          </w:p>
        </w:tc>
        <w:tc>
          <w:tcPr>
            <w:tcW w:w="6104" w:type="dxa"/>
            <w:vAlign w:val="center"/>
          </w:tcPr>
          <w:p w14:paraId="60327F41">
            <w:pPr>
              <w:pStyle w:val="243"/>
              <w:spacing w:before="0" w:after="0" w:line="240" w:lineRule="auto"/>
              <w:ind w:firstLine="0"/>
              <w:rPr>
                <w:rFonts w:ascii="宋体" w:hAnsi="宋体" w:cs="宋体"/>
                <w:bCs/>
                <w:color w:val="auto"/>
                <w:highlight w:val="none"/>
              </w:rPr>
            </w:pPr>
            <w:r>
              <w:rPr>
                <w:rFonts w:hint="eastAsia" w:ascii="宋体" w:hAnsi="宋体" w:cs="宋体"/>
                <w:bCs/>
                <w:color w:val="auto"/>
                <w:highlight w:val="none"/>
              </w:rPr>
              <w:t>满足中小企业政策的证明文件（如有中小企业政策要求的）。</w:t>
            </w:r>
            <w:r>
              <w:rPr>
                <w:rFonts w:hint="eastAsia" w:ascii="宋体" w:hAnsi="宋体" w:cs="宋体"/>
                <w:b/>
                <w:bCs/>
                <w:color w:val="auto"/>
                <w:highlight w:val="none"/>
              </w:rPr>
              <w:t>（本项目不适用）</w:t>
            </w:r>
          </w:p>
        </w:tc>
        <w:tc>
          <w:tcPr>
            <w:tcW w:w="2016" w:type="dxa"/>
            <w:vAlign w:val="center"/>
          </w:tcPr>
          <w:p w14:paraId="0C48DB6D">
            <w:pPr>
              <w:pStyle w:val="243"/>
              <w:spacing w:before="0" w:after="0" w:line="240" w:lineRule="auto"/>
              <w:ind w:firstLine="0"/>
              <w:rPr>
                <w:rFonts w:ascii="宋体" w:hAnsi="宋体" w:cs="宋体"/>
                <w:bCs/>
                <w:color w:val="auto"/>
                <w:highlight w:val="none"/>
              </w:rPr>
            </w:pPr>
            <w:r>
              <w:rPr>
                <w:rFonts w:hint="eastAsia" w:ascii="宋体" w:hAnsi="宋体" w:cs="宋体"/>
                <w:bCs/>
                <w:color w:val="auto"/>
                <w:highlight w:val="none"/>
              </w:rPr>
              <w:t>落实政府采购政策需满足的资格要求，详见第一章《参加征集活动的邀请》</w:t>
            </w:r>
          </w:p>
        </w:tc>
      </w:tr>
      <w:tr w14:paraId="4438C1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vAlign w:val="center"/>
          </w:tcPr>
          <w:p w14:paraId="162895D9">
            <w:pPr>
              <w:pStyle w:val="243"/>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8</w:t>
            </w:r>
          </w:p>
        </w:tc>
        <w:tc>
          <w:tcPr>
            <w:tcW w:w="6104" w:type="dxa"/>
            <w:vAlign w:val="center"/>
          </w:tcPr>
          <w:p w14:paraId="2E095916">
            <w:pPr>
              <w:pStyle w:val="243"/>
              <w:spacing w:before="0" w:after="0" w:line="240" w:lineRule="auto"/>
              <w:ind w:firstLine="0"/>
              <w:jc w:val="both"/>
              <w:rPr>
                <w:rFonts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文件（如有特定资格要求的）。</w:t>
            </w:r>
          </w:p>
        </w:tc>
        <w:tc>
          <w:tcPr>
            <w:tcW w:w="2016" w:type="dxa"/>
            <w:vAlign w:val="center"/>
          </w:tcPr>
          <w:p w14:paraId="37AB5DC3">
            <w:pPr>
              <w:pStyle w:val="243"/>
              <w:spacing w:before="0" w:after="0" w:line="240" w:lineRule="auto"/>
              <w:ind w:firstLine="0"/>
              <w:rPr>
                <w:rFonts w:ascii="宋体" w:hAnsi="宋体" w:cs="宋体"/>
                <w:bCs/>
                <w:color w:val="auto"/>
                <w:highlight w:val="none"/>
              </w:rPr>
            </w:pPr>
            <w:bookmarkStart w:id="279" w:name="OLE_LINK122"/>
            <w:bookmarkStart w:id="280" w:name="OLE_LINK121"/>
            <w:r>
              <w:rPr>
                <w:rFonts w:hint="eastAsia" w:ascii="宋体" w:hAnsi="宋体" w:cs="宋体"/>
                <w:color w:val="auto"/>
                <w:highlight w:val="none"/>
              </w:rPr>
              <w:t>特定资格要求，详见第一章《参加征集活动的邀请》</w:t>
            </w:r>
            <w:bookmarkEnd w:id="279"/>
            <w:bookmarkEnd w:id="280"/>
          </w:p>
        </w:tc>
      </w:tr>
      <w:tr w14:paraId="4318D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2" w:hRule="atLeast"/>
          <w:jc w:val="center"/>
        </w:trPr>
        <w:tc>
          <w:tcPr>
            <w:tcW w:w="719" w:type="dxa"/>
            <w:vAlign w:val="center"/>
          </w:tcPr>
          <w:p w14:paraId="5059C189">
            <w:pPr>
              <w:pStyle w:val="243"/>
              <w:spacing w:before="0" w:after="0" w:line="240" w:lineRule="auto"/>
              <w:ind w:firstLine="0"/>
              <w:jc w:val="center"/>
              <w:rPr>
                <w:rFonts w:ascii="宋体" w:hAnsi="宋体" w:cs="宋体"/>
                <w:bCs/>
                <w:color w:val="auto"/>
                <w:highlight w:val="none"/>
              </w:rPr>
            </w:pPr>
            <w:r>
              <w:rPr>
                <w:rFonts w:hint="eastAsia" w:ascii="宋体" w:hAnsi="宋体" w:cs="宋体"/>
                <w:bCs/>
                <w:color w:val="auto"/>
                <w:highlight w:val="none"/>
              </w:rPr>
              <w:t>9</w:t>
            </w:r>
          </w:p>
        </w:tc>
        <w:tc>
          <w:tcPr>
            <w:tcW w:w="8120" w:type="dxa"/>
            <w:gridSpan w:val="2"/>
            <w:vAlign w:val="center"/>
          </w:tcPr>
          <w:p w14:paraId="1E627B17">
            <w:pPr>
              <w:pStyle w:val="243"/>
              <w:spacing w:before="0" w:after="0" w:line="240" w:lineRule="auto"/>
              <w:ind w:firstLine="0"/>
              <w:rPr>
                <w:rFonts w:ascii="宋体" w:hAnsi="宋体" w:cs="宋体"/>
                <w:color w:val="auto"/>
                <w:highlight w:val="none"/>
              </w:rPr>
            </w:pPr>
            <w:r>
              <w:rPr>
                <w:rFonts w:hint="eastAsia" w:ascii="宋体" w:hAnsi="宋体" w:cs="宋体"/>
                <w:bCs/>
                <w:color w:val="auto"/>
                <w:highlight w:val="none"/>
              </w:rPr>
              <w:t>《联合体协议》（</w:t>
            </w:r>
            <w:r>
              <w:rPr>
                <w:rFonts w:hint="eastAsia" w:ascii="宋体" w:hAnsi="宋体"/>
                <w:color w:val="auto"/>
                <w:highlight w:val="none"/>
              </w:rPr>
              <w:t>如本项目接受联合体参与且供应商为联合体时须提供</w:t>
            </w:r>
            <w:r>
              <w:rPr>
                <w:rFonts w:hint="eastAsia" w:ascii="宋体" w:hAnsi="宋体" w:cs="宋体"/>
                <w:bCs/>
                <w:color w:val="auto"/>
                <w:highlight w:val="none"/>
              </w:rPr>
              <w:t>，格式自拟）。</w:t>
            </w:r>
            <w:r>
              <w:rPr>
                <w:rFonts w:hint="eastAsia" w:ascii="宋体" w:hAnsi="宋体" w:cs="宋体"/>
                <w:b/>
                <w:bCs/>
                <w:color w:val="auto"/>
                <w:highlight w:val="none"/>
              </w:rPr>
              <w:t>（本项目不适用）</w:t>
            </w:r>
          </w:p>
        </w:tc>
      </w:tr>
    </w:tbl>
    <w:p w14:paraId="6801498A">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6CA9D247">
      <w:pPr>
        <w:numPr>
          <w:ilvl w:val="0"/>
          <w:numId w:val="6"/>
        </w:numPr>
        <w:spacing w:line="500" w:lineRule="exact"/>
        <w:ind w:firstLine="480"/>
        <w:rPr>
          <w:rFonts w:ascii="宋体" w:hAnsi="宋体"/>
          <w:color w:val="auto"/>
          <w:sz w:val="24"/>
          <w:szCs w:val="24"/>
          <w:highlight w:val="none"/>
        </w:rPr>
      </w:pPr>
      <w:r>
        <w:rPr>
          <w:rFonts w:ascii="宋体" w:hAnsi="宋体"/>
          <w:color w:val="auto"/>
          <w:sz w:val="24"/>
          <w:szCs w:val="24"/>
          <w:highlight w:val="none"/>
        </w:rPr>
        <w:t>上述资格证明文件</w:t>
      </w:r>
      <w:r>
        <w:rPr>
          <w:rFonts w:hint="eastAsia" w:ascii="宋体" w:hAnsi="宋体"/>
          <w:color w:val="auto"/>
          <w:sz w:val="24"/>
          <w:szCs w:val="24"/>
          <w:highlight w:val="none"/>
        </w:rPr>
        <w:t>1～6项必须全部按要求提供（有给定格式的，必须按给定格式的要求正确填报并提供，相应格式见本章第二部分），否则响应文件无效。</w:t>
      </w:r>
      <w:r>
        <w:rPr>
          <w:rFonts w:ascii="宋体" w:hAnsi="宋体"/>
          <w:color w:val="auto"/>
          <w:sz w:val="24"/>
          <w:szCs w:val="24"/>
          <w:highlight w:val="none"/>
        </w:rPr>
        <w:t>如遇年检、换证，则必须提供法定年检、换证单位出具的有效证明扫描件。</w:t>
      </w:r>
      <w:r>
        <w:rPr>
          <w:rFonts w:hint="eastAsia" w:ascii="宋体" w:hAnsi="宋体"/>
          <w:color w:val="auto"/>
          <w:sz w:val="24"/>
          <w:szCs w:val="24"/>
          <w:highlight w:val="none"/>
        </w:rPr>
        <w:t>其中</w:t>
      </w:r>
      <w:r>
        <w:rPr>
          <w:rFonts w:ascii="宋体" w:hAnsi="宋体"/>
          <w:color w:val="auto"/>
          <w:sz w:val="24"/>
          <w:szCs w:val="24"/>
          <w:highlight w:val="none"/>
        </w:rPr>
        <w:t>第</w:t>
      </w:r>
      <w:r>
        <w:rPr>
          <w:rFonts w:hint="eastAsia" w:ascii="宋体" w:hAnsi="宋体"/>
          <w:color w:val="auto"/>
          <w:sz w:val="24"/>
          <w:szCs w:val="24"/>
          <w:highlight w:val="none"/>
        </w:rPr>
        <w:t>3</w:t>
      </w:r>
      <w:r>
        <w:rPr>
          <w:rFonts w:ascii="宋体" w:hAnsi="宋体"/>
          <w:color w:val="auto"/>
          <w:sz w:val="24"/>
          <w:szCs w:val="24"/>
          <w:highlight w:val="none"/>
        </w:rPr>
        <w:t>、</w:t>
      </w:r>
      <w:r>
        <w:rPr>
          <w:rFonts w:hint="eastAsia" w:ascii="宋体" w:hAnsi="宋体"/>
          <w:color w:val="auto"/>
          <w:sz w:val="24"/>
          <w:szCs w:val="24"/>
          <w:highlight w:val="none"/>
        </w:rPr>
        <w:t>4</w:t>
      </w:r>
      <w:r>
        <w:rPr>
          <w:rFonts w:ascii="宋体" w:hAnsi="宋体"/>
          <w:color w:val="auto"/>
          <w:sz w:val="24"/>
          <w:szCs w:val="24"/>
          <w:highlight w:val="none"/>
        </w:rPr>
        <w:t>、</w:t>
      </w:r>
      <w:r>
        <w:rPr>
          <w:rFonts w:hint="eastAsia" w:ascii="宋体" w:hAnsi="宋体"/>
          <w:color w:val="auto"/>
          <w:sz w:val="24"/>
          <w:szCs w:val="24"/>
          <w:highlight w:val="none"/>
        </w:rPr>
        <w:t>5</w:t>
      </w:r>
      <w:r>
        <w:rPr>
          <w:rFonts w:ascii="宋体" w:hAnsi="宋体"/>
          <w:color w:val="auto"/>
          <w:sz w:val="24"/>
          <w:szCs w:val="24"/>
          <w:highlight w:val="none"/>
        </w:rPr>
        <w:t>项如遇有国家相关政策规定可不具备的（如依法享受缓缴、免缴税收、社会保障资金</w:t>
      </w:r>
      <w:r>
        <w:rPr>
          <w:rFonts w:hint="eastAsia" w:ascii="宋体" w:hAnsi="宋体"/>
          <w:color w:val="auto"/>
          <w:sz w:val="24"/>
          <w:szCs w:val="24"/>
          <w:highlight w:val="none"/>
        </w:rPr>
        <w:t>等</w:t>
      </w:r>
      <w:r>
        <w:rPr>
          <w:rFonts w:ascii="宋体" w:hAnsi="宋体"/>
          <w:color w:val="auto"/>
          <w:sz w:val="24"/>
          <w:szCs w:val="24"/>
          <w:highlight w:val="none"/>
        </w:rPr>
        <w:t>），必须提供相关政策规定或相关单位出具的有效证明扫描件；如因新成立</w:t>
      </w:r>
      <w:r>
        <w:rPr>
          <w:rFonts w:hint="eastAsia" w:ascii="宋体" w:hAnsi="宋体"/>
          <w:color w:val="auto"/>
          <w:sz w:val="24"/>
          <w:szCs w:val="24"/>
          <w:highlight w:val="none"/>
        </w:rPr>
        <w:t>确无法提供</w:t>
      </w:r>
      <w:r>
        <w:rPr>
          <w:rFonts w:ascii="宋体" w:hAnsi="宋体"/>
          <w:color w:val="auto"/>
          <w:sz w:val="24"/>
          <w:szCs w:val="24"/>
          <w:highlight w:val="none"/>
        </w:rPr>
        <w:t>的，可以不提供。</w:t>
      </w:r>
    </w:p>
    <w:p w14:paraId="67065858">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65379101">
      <w:pPr>
        <w:numPr>
          <w:ilvl w:val="0"/>
          <w:numId w:val="6"/>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7项，如本项目落实政府采购政策需满足的资格要求中有中小企业政策要求的（详见第一章《参加征集活动的邀请》），必须提供相应证明文件，否则响应文件无效。</w:t>
      </w:r>
      <w:r>
        <w:rPr>
          <w:rFonts w:hint="eastAsia" w:ascii="宋体" w:hAnsi="宋体" w:cs="宋体"/>
          <w:b/>
          <w:bCs/>
          <w:color w:val="auto"/>
          <w:sz w:val="24"/>
          <w:szCs w:val="24"/>
          <w:highlight w:val="none"/>
        </w:rPr>
        <w:t>（本项目不适用）</w:t>
      </w:r>
    </w:p>
    <w:p w14:paraId="76CDC421">
      <w:pPr>
        <w:spacing w:line="500" w:lineRule="exact"/>
        <w:ind w:firstLine="480"/>
        <w:rPr>
          <w:rFonts w:ascii="宋体" w:hAnsi="宋体"/>
          <w:color w:val="auto"/>
          <w:sz w:val="24"/>
          <w:szCs w:val="24"/>
          <w:highlight w:val="none"/>
        </w:rPr>
      </w:pPr>
      <w:r>
        <w:rPr>
          <w:rFonts w:ascii="宋体" w:hAnsi="宋体"/>
          <w:color w:val="auto"/>
          <w:sz w:val="24"/>
          <w:szCs w:val="24"/>
          <w:highlight w:val="none"/>
        </w:rPr>
        <w:t>专门面向中小</w:t>
      </w:r>
      <w:r>
        <w:rPr>
          <w:rFonts w:hint="eastAsia" w:ascii="宋体" w:hAnsi="宋体"/>
          <w:color w:val="auto"/>
          <w:sz w:val="24"/>
          <w:szCs w:val="24"/>
          <w:highlight w:val="none"/>
        </w:rPr>
        <w:t>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p>
    <w:p w14:paraId="1AFE05FA">
      <w:pPr>
        <w:numPr>
          <w:ilvl w:val="0"/>
          <w:numId w:val="6"/>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8项，本项目有特定资格要求（详见第一章《参加征集活动的邀请》），须提供相应的特定资格证明文件。</w:t>
      </w:r>
    </w:p>
    <w:p w14:paraId="793E1316">
      <w:pPr>
        <w:numPr>
          <w:ilvl w:val="0"/>
          <w:numId w:val="6"/>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ascii="宋体" w:hAnsi="宋体"/>
          <w:color w:val="auto"/>
          <w:sz w:val="24"/>
          <w:szCs w:val="24"/>
          <w:highlight w:val="none"/>
        </w:rPr>
        <w:t>资格证明文件第</w:t>
      </w:r>
      <w:r>
        <w:rPr>
          <w:rFonts w:hint="eastAsia" w:ascii="宋体" w:hAnsi="宋体"/>
          <w:color w:val="auto"/>
          <w:sz w:val="24"/>
          <w:szCs w:val="24"/>
          <w:highlight w:val="none"/>
        </w:rPr>
        <w:t>9项，如本项目接受联合体参与征集活动的（详见第一章《参加征集活动的邀请》），且供应商为联合体时，必须提供《联合体协议》（格式自拟，明确各方拟承担的工作和责任，并指定联合体牵头人，授权其代表所有联合体成员负责本项目征集活动和框架协议以及合同实施阶段的牵头、协调工作），否则响应文件无效。</w:t>
      </w:r>
      <w:r>
        <w:rPr>
          <w:rFonts w:hint="eastAsia" w:ascii="宋体" w:hAnsi="宋体" w:cs="宋体"/>
          <w:b/>
          <w:bCs/>
          <w:color w:val="auto"/>
          <w:sz w:val="24"/>
          <w:szCs w:val="24"/>
          <w:highlight w:val="none"/>
        </w:rPr>
        <w:t>（本项目不适用）</w:t>
      </w:r>
    </w:p>
    <w:p w14:paraId="5A2DCA23">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如项目接受联合体参与征集活动且供应商为联合体时，</w:t>
      </w:r>
      <w:r>
        <w:rPr>
          <w:rFonts w:ascii="宋体" w:hAnsi="宋体"/>
          <w:color w:val="auto"/>
          <w:sz w:val="24"/>
          <w:szCs w:val="24"/>
          <w:highlight w:val="none"/>
        </w:rPr>
        <w:t>上述资格证明文件</w:t>
      </w:r>
      <w:r>
        <w:rPr>
          <w:rFonts w:hint="eastAsia" w:ascii="宋体" w:hAnsi="宋体"/>
          <w:color w:val="auto"/>
          <w:sz w:val="24"/>
          <w:szCs w:val="24"/>
          <w:highlight w:val="none"/>
        </w:rPr>
        <w:t>中：第2、6项可由联合体主体单位（即联合体牵头人）代表联合体提供；第1、3、4、5、7（如有要求）、8（如有要求）项，联合体各方均须提供。</w:t>
      </w:r>
      <w:r>
        <w:rPr>
          <w:rFonts w:hint="eastAsia" w:ascii="宋体" w:hAnsi="宋体" w:cs="宋体"/>
          <w:b/>
          <w:bCs/>
          <w:color w:val="auto"/>
          <w:sz w:val="24"/>
          <w:szCs w:val="24"/>
          <w:highlight w:val="none"/>
        </w:rPr>
        <w:t>（本项目不适用）</w:t>
      </w:r>
    </w:p>
    <w:p w14:paraId="0CA4A1C4">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二、符合性证明文件及其他证明文件</w:t>
      </w:r>
    </w:p>
    <w:p w14:paraId="207E41B2">
      <w:pPr>
        <w:rPr>
          <w:b/>
          <w:color w:val="auto"/>
          <w:sz w:val="28"/>
          <w:szCs w:val="28"/>
          <w:highlight w:val="none"/>
        </w:rPr>
      </w:pPr>
      <w:r>
        <w:rPr>
          <w:rFonts w:hint="eastAsia"/>
          <w:b/>
          <w:color w:val="auto"/>
          <w:sz w:val="28"/>
          <w:szCs w:val="28"/>
          <w:highlight w:val="none"/>
        </w:rPr>
        <w:t>（一）符合性证明文件</w:t>
      </w:r>
    </w:p>
    <w:tbl>
      <w:tblPr>
        <w:tblStyle w:val="4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97"/>
        <w:gridCol w:w="5670"/>
        <w:gridCol w:w="2194"/>
      </w:tblGrid>
      <w:tr w14:paraId="645B26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97" w:type="dxa"/>
            <w:vAlign w:val="center"/>
          </w:tcPr>
          <w:p w14:paraId="200A82ED">
            <w:pPr>
              <w:pStyle w:val="243"/>
              <w:spacing w:before="0" w:after="0" w:line="240" w:lineRule="auto"/>
              <w:ind w:firstLine="0"/>
              <w:jc w:val="center"/>
              <w:rPr>
                <w:rFonts w:cs="Arial"/>
                <w:b/>
                <w:color w:val="auto"/>
                <w:highlight w:val="none"/>
              </w:rPr>
            </w:pPr>
            <w:r>
              <w:rPr>
                <w:rFonts w:hint="eastAsia" w:cs="Arial"/>
                <w:b/>
                <w:color w:val="auto"/>
                <w:highlight w:val="none"/>
              </w:rPr>
              <w:t>序号</w:t>
            </w:r>
          </w:p>
        </w:tc>
        <w:tc>
          <w:tcPr>
            <w:tcW w:w="5670" w:type="dxa"/>
            <w:vAlign w:val="center"/>
          </w:tcPr>
          <w:p w14:paraId="56435F7F">
            <w:pPr>
              <w:pStyle w:val="243"/>
              <w:spacing w:before="0" w:after="0" w:line="240" w:lineRule="auto"/>
              <w:ind w:firstLine="0"/>
              <w:jc w:val="center"/>
              <w:rPr>
                <w:rFonts w:cs="Arial"/>
                <w:b/>
                <w:color w:val="auto"/>
                <w:highlight w:val="none"/>
              </w:rPr>
            </w:pPr>
            <w:r>
              <w:rPr>
                <w:rFonts w:hint="eastAsia" w:ascii="宋体" w:hAnsi="宋体" w:cs="宋体"/>
                <w:b/>
                <w:color w:val="auto"/>
                <w:highlight w:val="none"/>
              </w:rPr>
              <w:t>评审项目及评审要求</w:t>
            </w:r>
          </w:p>
        </w:tc>
        <w:tc>
          <w:tcPr>
            <w:tcW w:w="2194" w:type="dxa"/>
            <w:vAlign w:val="center"/>
          </w:tcPr>
          <w:p w14:paraId="7F0151F6">
            <w:pPr>
              <w:pStyle w:val="243"/>
              <w:spacing w:before="0" w:after="0" w:line="240" w:lineRule="auto"/>
              <w:ind w:firstLine="0"/>
              <w:jc w:val="center"/>
              <w:rPr>
                <w:rFonts w:cs="Arial"/>
                <w:b/>
                <w:color w:val="auto"/>
                <w:highlight w:val="none"/>
              </w:rPr>
            </w:pPr>
            <w:r>
              <w:rPr>
                <w:rFonts w:hint="eastAsia" w:cs="Arial"/>
                <w:b/>
                <w:color w:val="auto"/>
                <w:highlight w:val="none"/>
              </w:rPr>
              <w:t>审查因素</w:t>
            </w:r>
          </w:p>
        </w:tc>
      </w:tr>
      <w:tr w14:paraId="44404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97" w:type="dxa"/>
            <w:vAlign w:val="center"/>
          </w:tcPr>
          <w:p w14:paraId="1BC936C1">
            <w:pPr>
              <w:pStyle w:val="243"/>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1</w:t>
            </w:r>
          </w:p>
        </w:tc>
        <w:tc>
          <w:tcPr>
            <w:tcW w:w="5670" w:type="dxa"/>
            <w:vAlign w:val="center"/>
          </w:tcPr>
          <w:p w14:paraId="0C62D6A9">
            <w:pPr>
              <w:pStyle w:val="243"/>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响应函（给定格式）</w:t>
            </w:r>
          </w:p>
        </w:tc>
        <w:tc>
          <w:tcPr>
            <w:tcW w:w="2194" w:type="dxa"/>
            <w:vMerge w:val="restart"/>
            <w:vAlign w:val="center"/>
          </w:tcPr>
          <w:p w14:paraId="58913BDE">
            <w:pPr>
              <w:pStyle w:val="243"/>
              <w:spacing w:before="0" w:after="0" w:line="240" w:lineRule="auto"/>
              <w:ind w:firstLine="0"/>
              <w:jc w:val="center"/>
              <w:rPr>
                <w:rFonts w:cs="Arial"/>
                <w:color w:val="auto"/>
                <w:highlight w:val="none"/>
              </w:rPr>
            </w:pPr>
            <w:r>
              <w:rPr>
                <w:rFonts w:hint="eastAsia" w:cs="Arial"/>
                <w:color w:val="auto"/>
                <w:highlight w:val="none"/>
              </w:rPr>
              <w:t>商务符合性</w:t>
            </w:r>
          </w:p>
        </w:tc>
      </w:tr>
      <w:tr w14:paraId="580F09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97" w:type="dxa"/>
            <w:vAlign w:val="center"/>
          </w:tcPr>
          <w:p w14:paraId="631CE343">
            <w:pPr>
              <w:pStyle w:val="243"/>
              <w:spacing w:before="0" w:after="0" w:line="240" w:lineRule="auto"/>
              <w:ind w:firstLine="0"/>
              <w:jc w:val="center"/>
              <w:rPr>
                <w:rFonts w:ascii="宋体" w:hAnsi="宋体" w:cs="Arial"/>
                <w:color w:val="auto"/>
                <w:highlight w:val="none"/>
              </w:rPr>
            </w:pPr>
            <w:r>
              <w:rPr>
                <w:rFonts w:hint="eastAsia" w:ascii="宋体" w:hAnsi="宋体" w:cs="Arial"/>
                <w:color w:val="auto"/>
                <w:highlight w:val="none"/>
              </w:rPr>
              <w:t>2</w:t>
            </w:r>
          </w:p>
        </w:tc>
        <w:tc>
          <w:tcPr>
            <w:tcW w:w="5670" w:type="dxa"/>
            <w:vAlign w:val="center"/>
          </w:tcPr>
          <w:p w14:paraId="67AAEB36">
            <w:pPr>
              <w:pStyle w:val="243"/>
              <w:spacing w:before="0" w:after="0" w:line="240" w:lineRule="auto"/>
              <w:ind w:firstLine="0"/>
              <w:jc w:val="both"/>
              <w:rPr>
                <w:rFonts w:ascii="宋体" w:hAnsi="宋体" w:cs="Arial"/>
                <w:color w:val="auto"/>
                <w:highlight w:val="none"/>
              </w:rPr>
            </w:pPr>
            <w:r>
              <w:rPr>
                <w:rFonts w:hint="eastAsia" w:ascii="宋体" w:hAnsi="宋体" w:cs="Arial"/>
                <w:color w:val="auto"/>
                <w:highlight w:val="none"/>
              </w:rPr>
              <w:t>承诺书</w:t>
            </w:r>
            <w:r>
              <w:rPr>
                <w:rFonts w:hint="eastAsia" w:ascii="宋体" w:hAnsi="宋体" w:cs="Arial"/>
                <w:color w:val="auto"/>
                <w:highlight w:val="none"/>
                <w:lang w:eastAsia="zh-CN"/>
              </w:rPr>
              <w:t>一</w:t>
            </w:r>
            <w:r>
              <w:rPr>
                <w:rFonts w:hint="eastAsia" w:ascii="宋体" w:hAnsi="宋体" w:cs="Arial"/>
                <w:color w:val="auto"/>
                <w:highlight w:val="none"/>
              </w:rPr>
              <w:t>（给定格式）</w:t>
            </w:r>
          </w:p>
        </w:tc>
        <w:tc>
          <w:tcPr>
            <w:tcW w:w="2194" w:type="dxa"/>
            <w:vMerge w:val="continue"/>
            <w:vAlign w:val="center"/>
          </w:tcPr>
          <w:p w14:paraId="42EA6603">
            <w:pPr>
              <w:pStyle w:val="243"/>
              <w:spacing w:before="0" w:after="0" w:line="240" w:lineRule="auto"/>
              <w:ind w:firstLine="0"/>
              <w:jc w:val="center"/>
              <w:rPr>
                <w:rFonts w:cs="Arial"/>
                <w:color w:val="auto"/>
                <w:highlight w:val="none"/>
              </w:rPr>
            </w:pPr>
          </w:p>
        </w:tc>
      </w:tr>
      <w:tr w14:paraId="7C487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97" w:type="dxa"/>
            <w:vAlign w:val="center"/>
          </w:tcPr>
          <w:p w14:paraId="6051B6A0">
            <w:pPr>
              <w:pStyle w:val="243"/>
              <w:spacing w:before="0" w:after="0" w:line="240" w:lineRule="auto"/>
              <w:ind w:firstLine="0"/>
              <w:jc w:val="center"/>
              <w:rPr>
                <w:rFonts w:ascii="宋体" w:hAnsi="宋体"/>
                <w:color w:val="auto"/>
                <w:highlight w:val="none"/>
              </w:rPr>
            </w:pPr>
            <w:r>
              <w:rPr>
                <w:rFonts w:hint="eastAsia" w:ascii="宋体" w:hAnsi="宋体"/>
                <w:color w:val="auto"/>
                <w:highlight w:val="none"/>
              </w:rPr>
              <w:t>3</w:t>
            </w:r>
          </w:p>
        </w:tc>
        <w:tc>
          <w:tcPr>
            <w:tcW w:w="5670" w:type="dxa"/>
            <w:vAlign w:val="center"/>
          </w:tcPr>
          <w:p w14:paraId="511B7F80">
            <w:pPr>
              <w:pStyle w:val="243"/>
              <w:spacing w:before="0" w:after="0" w:line="240" w:lineRule="auto"/>
              <w:ind w:firstLine="0"/>
              <w:jc w:val="both"/>
              <w:rPr>
                <w:rFonts w:ascii="宋体" w:hAnsi="宋体" w:cs="Arial"/>
                <w:color w:val="auto"/>
                <w:highlight w:val="none"/>
              </w:rPr>
            </w:pPr>
            <w:r>
              <w:rPr>
                <w:rFonts w:hint="eastAsia" w:ascii="宋体" w:hAnsi="宋体"/>
                <w:color w:val="auto"/>
                <w:highlight w:val="none"/>
              </w:rPr>
              <w:t>报价一览表（给定格式）</w:t>
            </w:r>
          </w:p>
        </w:tc>
        <w:tc>
          <w:tcPr>
            <w:tcW w:w="2194" w:type="dxa"/>
            <w:vAlign w:val="center"/>
          </w:tcPr>
          <w:p w14:paraId="4D0590D3">
            <w:pPr>
              <w:pStyle w:val="243"/>
              <w:spacing w:before="0" w:after="0" w:line="240" w:lineRule="auto"/>
              <w:ind w:firstLine="0"/>
              <w:jc w:val="center"/>
              <w:rPr>
                <w:rFonts w:cs="Arial"/>
                <w:color w:val="auto"/>
                <w:highlight w:val="none"/>
              </w:rPr>
            </w:pPr>
            <w:r>
              <w:rPr>
                <w:rFonts w:hint="eastAsia" w:cs="Arial"/>
                <w:color w:val="auto"/>
                <w:highlight w:val="none"/>
              </w:rPr>
              <w:t>报价符合性</w:t>
            </w:r>
          </w:p>
        </w:tc>
      </w:tr>
      <w:tr w14:paraId="7E98FB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97" w:type="dxa"/>
            <w:vAlign w:val="center"/>
          </w:tcPr>
          <w:p w14:paraId="3DC92301">
            <w:pPr>
              <w:pStyle w:val="243"/>
              <w:spacing w:before="0" w:after="0" w:line="240" w:lineRule="auto"/>
              <w:ind w:firstLine="0"/>
              <w:jc w:val="center"/>
              <w:rPr>
                <w:rFonts w:ascii="宋体" w:hAnsi="宋体"/>
                <w:color w:val="auto"/>
                <w:highlight w:val="none"/>
              </w:rPr>
            </w:pPr>
            <w:r>
              <w:rPr>
                <w:rFonts w:hint="eastAsia" w:ascii="宋体" w:hAnsi="宋体"/>
                <w:color w:val="auto"/>
                <w:highlight w:val="none"/>
              </w:rPr>
              <w:t>4</w:t>
            </w:r>
          </w:p>
        </w:tc>
        <w:tc>
          <w:tcPr>
            <w:tcW w:w="5670" w:type="dxa"/>
            <w:vAlign w:val="center"/>
          </w:tcPr>
          <w:p w14:paraId="5A2C153B">
            <w:pPr>
              <w:pStyle w:val="243"/>
              <w:spacing w:before="0" w:after="0" w:line="240" w:lineRule="auto"/>
              <w:ind w:firstLine="0"/>
              <w:jc w:val="both"/>
              <w:rPr>
                <w:rFonts w:ascii="宋体" w:hAnsi="宋体" w:cs="Arial"/>
                <w:color w:val="auto"/>
                <w:highlight w:val="none"/>
              </w:rPr>
            </w:pPr>
            <w:r>
              <w:rPr>
                <w:rFonts w:hint="eastAsia" w:ascii="宋体" w:hAnsi="宋体"/>
                <w:color w:val="auto"/>
                <w:highlight w:val="none"/>
              </w:rPr>
              <w:t>响应偏离表（给定格式）</w:t>
            </w:r>
          </w:p>
        </w:tc>
        <w:tc>
          <w:tcPr>
            <w:tcW w:w="2194" w:type="dxa"/>
            <w:vMerge w:val="restart"/>
            <w:vAlign w:val="center"/>
          </w:tcPr>
          <w:p w14:paraId="5F7D532A">
            <w:pPr>
              <w:pStyle w:val="243"/>
              <w:spacing w:before="0" w:after="0" w:line="240" w:lineRule="auto"/>
              <w:ind w:firstLine="0"/>
              <w:jc w:val="center"/>
              <w:rPr>
                <w:rFonts w:cs="Arial"/>
                <w:color w:val="auto"/>
                <w:highlight w:val="none"/>
              </w:rPr>
            </w:pPr>
            <w:r>
              <w:rPr>
                <w:rFonts w:hint="eastAsia" w:cs="Arial"/>
                <w:color w:val="auto"/>
                <w:highlight w:val="none"/>
              </w:rPr>
              <w:t>技术符合性</w:t>
            </w:r>
          </w:p>
        </w:tc>
      </w:tr>
      <w:tr w14:paraId="428E5B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97" w:type="dxa"/>
            <w:vAlign w:val="center"/>
          </w:tcPr>
          <w:p w14:paraId="78B08643">
            <w:pPr>
              <w:pStyle w:val="243"/>
              <w:spacing w:before="0" w:after="0" w:line="240" w:lineRule="auto"/>
              <w:ind w:firstLine="0"/>
              <w:jc w:val="center"/>
              <w:rPr>
                <w:rFonts w:ascii="宋体" w:hAnsi="宋体"/>
                <w:color w:val="auto"/>
                <w:highlight w:val="none"/>
              </w:rPr>
            </w:pPr>
            <w:r>
              <w:rPr>
                <w:rFonts w:hint="eastAsia" w:ascii="宋体" w:hAnsi="宋体"/>
                <w:color w:val="auto"/>
                <w:highlight w:val="none"/>
              </w:rPr>
              <w:t>5</w:t>
            </w:r>
          </w:p>
        </w:tc>
        <w:tc>
          <w:tcPr>
            <w:tcW w:w="5670" w:type="dxa"/>
            <w:vAlign w:val="center"/>
          </w:tcPr>
          <w:p w14:paraId="1603C576">
            <w:pPr>
              <w:pStyle w:val="243"/>
              <w:spacing w:before="0" w:after="0" w:line="240" w:lineRule="auto"/>
              <w:ind w:firstLine="0"/>
              <w:jc w:val="both"/>
              <w:rPr>
                <w:rFonts w:ascii="宋体" w:hAnsi="宋体"/>
                <w:color w:val="auto"/>
                <w:highlight w:val="none"/>
              </w:rPr>
            </w:pPr>
            <w:r>
              <w:rPr>
                <w:rFonts w:hint="eastAsia" w:ascii="宋体" w:hAnsi="宋体"/>
                <w:color w:val="auto"/>
                <w:highlight w:val="none"/>
              </w:rPr>
              <w:t>《采购需求》中要求提供的证明材料</w:t>
            </w:r>
          </w:p>
        </w:tc>
        <w:tc>
          <w:tcPr>
            <w:tcW w:w="2194" w:type="dxa"/>
            <w:vMerge w:val="continue"/>
            <w:vAlign w:val="center"/>
          </w:tcPr>
          <w:p w14:paraId="61A6AB2E">
            <w:pPr>
              <w:pStyle w:val="243"/>
              <w:spacing w:before="0" w:after="0" w:line="240" w:lineRule="auto"/>
              <w:ind w:firstLine="0"/>
              <w:jc w:val="both"/>
              <w:rPr>
                <w:rFonts w:cs="Arial"/>
                <w:color w:val="auto"/>
                <w:highlight w:val="none"/>
              </w:rPr>
            </w:pPr>
          </w:p>
        </w:tc>
      </w:tr>
    </w:tbl>
    <w:p w14:paraId="58414A57">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73AF5DF2">
      <w:pPr>
        <w:numPr>
          <w:ilvl w:val="0"/>
          <w:numId w:val="7"/>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cs="Arial"/>
          <w:color w:val="auto"/>
          <w:sz w:val="24"/>
          <w:szCs w:val="24"/>
          <w:highlight w:val="none"/>
        </w:rPr>
        <w:t>符合性证明文件及其他证明文件第</w:t>
      </w:r>
      <w:r>
        <w:rPr>
          <w:rFonts w:hint="eastAsia" w:ascii="宋体" w:hAnsi="宋体"/>
          <w:color w:val="auto"/>
          <w:sz w:val="24"/>
          <w:szCs w:val="24"/>
          <w:highlight w:val="none"/>
        </w:rPr>
        <w:t>1～4项必须按要求全部提供（有给定格式的，必须按给定格式的要求正确填报并提供，相应格式见本章第二部分），否则响应文件无效。</w:t>
      </w:r>
    </w:p>
    <w:p w14:paraId="5DCE1432">
      <w:pPr>
        <w:numPr>
          <w:ilvl w:val="0"/>
          <w:numId w:val="7"/>
        </w:num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符合性证明文件第5项，《采购需求》中如有要求提供证明材料的，须按要求提供，否则响应文件无效。</w:t>
      </w:r>
    </w:p>
    <w:p w14:paraId="3FEBCDE7">
      <w:pPr>
        <w:numPr>
          <w:ilvl w:val="0"/>
          <w:numId w:val="7"/>
        </w:numPr>
        <w:spacing w:line="500" w:lineRule="exact"/>
        <w:ind w:firstLine="480"/>
        <w:rPr>
          <w:rFonts w:ascii="宋体" w:hAnsi="宋体" w:cs="宋体"/>
          <w:color w:val="auto"/>
          <w:sz w:val="24"/>
          <w:szCs w:val="24"/>
          <w:highlight w:val="none"/>
        </w:rPr>
      </w:pPr>
      <w:r>
        <w:rPr>
          <w:rFonts w:hint="eastAsia" w:ascii="宋体" w:hAnsi="宋体" w:cs="宋体"/>
          <w:color w:val="auto"/>
          <w:sz w:val="24"/>
          <w:szCs w:val="24"/>
          <w:highlight w:val="none"/>
        </w:rPr>
        <w:t>如项目接受联合体参与征集活动的，且供应商为联合体时，上述</w:t>
      </w:r>
      <w:r>
        <w:rPr>
          <w:rFonts w:hint="eastAsia" w:cs="Arial"/>
          <w:color w:val="auto"/>
          <w:sz w:val="24"/>
          <w:szCs w:val="24"/>
          <w:highlight w:val="none"/>
        </w:rPr>
        <w:t>符合性证明文件及其他证明文件</w:t>
      </w:r>
      <w:r>
        <w:rPr>
          <w:rFonts w:hint="eastAsia" w:ascii="宋体" w:hAnsi="宋体" w:cs="宋体"/>
          <w:color w:val="auto"/>
          <w:sz w:val="24"/>
          <w:szCs w:val="24"/>
          <w:highlight w:val="none"/>
        </w:rPr>
        <w:t>第1～4项可由联合体主体单位（即联合体牵头人）代表联合体提供。第5项按《采购需求》中的相应要求（如有）进行提供。</w:t>
      </w:r>
      <w:r>
        <w:rPr>
          <w:rFonts w:hint="eastAsia" w:ascii="宋体" w:hAnsi="宋体" w:cs="宋体"/>
          <w:b/>
          <w:bCs/>
          <w:color w:val="auto"/>
          <w:sz w:val="24"/>
          <w:szCs w:val="24"/>
          <w:highlight w:val="none"/>
        </w:rPr>
        <w:t>（本项目不适用）</w:t>
      </w:r>
    </w:p>
    <w:p w14:paraId="0A46F2C7">
      <w:pPr>
        <w:spacing w:line="500" w:lineRule="exact"/>
        <w:ind w:left="480"/>
        <w:rPr>
          <w:rFonts w:ascii="宋体" w:hAnsi="宋体" w:cs="宋体"/>
          <w:color w:val="auto"/>
          <w:sz w:val="24"/>
          <w:szCs w:val="24"/>
          <w:highlight w:val="none"/>
        </w:rPr>
      </w:pPr>
    </w:p>
    <w:p w14:paraId="011D8C99">
      <w:pPr>
        <w:rPr>
          <w:b/>
          <w:color w:val="auto"/>
          <w:sz w:val="28"/>
          <w:szCs w:val="28"/>
          <w:highlight w:val="none"/>
        </w:rPr>
      </w:pPr>
      <w:r>
        <w:rPr>
          <w:rFonts w:hint="eastAsia"/>
          <w:b/>
          <w:color w:val="auto"/>
          <w:sz w:val="28"/>
          <w:szCs w:val="28"/>
          <w:highlight w:val="none"/>
        </w:rPr>
        <w:t>（二）其他证明文件</w:t>
      </w:r>
    </w:p>
    <w:p w14:paraId="229E077F">
      <w:pPr>
        <w:spacing w:line="500" w:lineRule="exact"/>
        <w:ind w:left="480"/>
        <w:rPr>
          <w:rFonts w:ascii="宋体" w:hAnsi="宋体" w:cs="宋体"/>
          <w:color w:val="auto"/>
          <w:sz w:val="24"/>
          <w:szCs w:val="24"/>
          <w:highlight w:val="none"/>
        </w:rPr>
      </w:pPr>
      <w:r>
        <w:rPr>
          <w:rFonts w:hint="eastAsia" w:ascii="宋体" w:hAnsi="宋体" w:cs="宋体"/>
          <w:color w:val="auto"/>
          <w:sz w:val="24"/>
          <w:szCs w:val="24"/>
          <w:highlight w:val="none"/>
        </w:rPr>
        <w:t>供应商认为如有其他应附的文件可自拟并自行添加。</w:t>
      </w:r>
    </w:p>
    <w:p w14:paraId="37F7C6CD">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第二部分  响应文件格式</w:t>
      </w:r>
    </w:p>
    <w:p w14:paraId="0F69BDBB">
      <w:pPr>
        <w:pStyle w:val="243"/>
        <w:spacing w:before="0" w:after="0"/>
        <w:ind w:firstLine="0"/>
        <w:rPr>
          <w:rFonts w:cs="Arial"/>
          <w:b/>
          <w:color w:val="auto"/>
          <w:sz w:val="28"/>
          <w:szCs w:val="28"/>
          <w:highlight w:val="none"/>
        </w:rPr>
      </w:pPr>
      <w:r>
        <w:rPr>
          <w:rFonts w:hint="eastAsia" w:cs="Arial"/>
          <w:b/>
          <w:color w:val="auto"/>
          <w:sz w:val="28"/>
          <w:szCs w:val="28"/>
          <w:highlight w:val="none"/>
        </w:rPr>
        <w:t>一、封面格式（参考格式）：</w:t>
      </w:r>
    </w:p>
    <w:p w14:paraId="642CDC43">
      <w:pPr>
        <w:jc w:val="center"/>
        <w:rPr>
          <w:rFonts w:ascii="宋体" w:hAnsi="宋体"/>
          <w:b/>
          <w:color w:val="auto"/>
          <w:sz w:val="72"/>
          <w:highlight w:val="none"/>
          <w:shd w:val="clear" w:color="FFFFFF" w:fill="D9D9D9"/>
        </w:rPr>
      </w:pPr>
    </w:p>
    <w:p w14:paraId="515A8FCA">
      <w:pPr>
        <w:jc w:val="center"/>
        <w:rPr>
          <w:rFonts w:ascii="宋体" w:hAnsi="宋体"/>
          <w:b/>
          <w:color w:val="auto"/>
          <w:sz w:val="72"/>
          <w:highlight w:val="none"/>
          <w:shd w:val="clear" w:color="FFFFFF" w:fill="D9D9D9"/>
        </w:rPr>
      </w:pPr>
    </w:p>
    <w:p w14:paraId="4BB412C0">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响  应  文  件</w:t>
      </w:r>
    </w:p>
    <w:p w14:paraId="1139A34F">
      <w:pPr>
        <w:jc w:val="center"/>
        <w:rPr>
          <w:rFonts w:ascii="宋体" w:hAnsi="宋体"/>
          <w:b/>
          <w:color w:val="auto"/>
          <w:sz w:val="72"/>
          <w:highlight w:val="none"/>
          <w:shd w:val="clear" w:color="FFFFFF" w:fill="D9D9D9"/>
        </w:rPr>
      </w:pPr>
    </w:p>
    <w:p w14:paraId="052D5963">
      <w:pPr>
        <w:jc w:val="center"/>
        <w:rPr>
          <w:rFonts w:ascii="宋体" w:hAnsi="宋体"/>
          <w:b/>
          <w:color w:val="auto"/>
          <w:sz w:val="72"/>
          <w:highlight w:val="none"/>
          <w:shd w:val="clear" w:color="FFFFFF" w:fill="D9D9D9"/>
        </w:rPr>
      </w:pPr>
    </w:p>
    <w:p w14:paraId="2E8901D7">
      <w:pPr>
        <w:jc w:val="center"/>
        <w:rPr>
          <w:rFonts w:ascii="宋体" w:hAnsi="宋体"/>
          <w:b/>
          <w:color w:val="auto"/>
          <w:sz w:val="72"/>
          <w:highlight w:val="none"/>
          <w:shd w:val="clear" w:color="FFFFFF" w:fill="D9D9D9"/>
        </w:rPr>
      </w:pPr>
    </w:p>
    <w:p w14:paraId="2C3B4DD9">
      <w:pPr>
        <w:jc w:val="center"/>
        <w:rPr>
          <w:rFonts w:ascii="宋体" w:hAnsi="宋体"/>
          <w:b/>
          <w:color w:val="auto"/>
          <w:sz w:val="72"/>
          <w:highlight w:val="none"/>
          <w:shd w:val="clear" w:color="FFFFFF" w:fill="D9D9D9"/>
        </w:rPr>
      </w:pPr>
    </w:p>
    <w:p w14:paraId="2B89CBAD">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 </w:t>
      </w:r>
    </w:p>
    <w:p w14:paraId="2F47A949">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 </w:t>
      </w:r>
    </w:p>
    <w:p w14:paraId="5D85E48E">
      <w:pPr>
        <w:ind w:firstLine="33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 </w:t>
      </w:r>
    </w:p>
    <w:p w14:paraId="3B3FB02D">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供 应 商：</w:t>
      </w:r>
    </w:p>
    <w:p w14:paraId="3A2765C5">
      <w:pPr>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日    期：</w:t>
      </w:r>
    </w:p>
    <w:p w14:paraId="480305E2">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二、授权委托书（给定格式）：</w:t>
      </w:r>
    </w:p>
    <w:p w14:paraId="41EF4AB0">
      <w:pPr>
        <w:jc w:val="center"/>
        <w:outlineLvl w:val="0"/>
        <w:rPr>
          <w:rFonts w:ascii="宋体" w:hAnsi="宋体"/>
          <w:color w:val="auto"/>
          <w:sz w:val="24"/>
          <w:highlight w:val="none"/>
          <w:shd w:val="clear" w:color="FFFFFF" w:fill="D9D9D9"/>
        </w:rPr>
      </w:pPr>
      <w:r>
        <w:rPr>
          <w:rFonts w:hint="eastAsia" w:ascii="黑体" w:eastAsia="黑体"/>
          <w:bCs/>
          <w:color w:val="auto"/>
          <w:sz w:val="28"/>
          <w:szCs w:val="28"/>
          <w:highlight w:val="none"/>
        </w:rPr>
        <w:t>授权委托书</w:t>
      </w:r>
    </w:p>
    <w:p w14:paraId="0877C43E">
      <w:pPr>
        <w:pStyle w:val="241"/>
        <w:ind w:firstLine="480"/>
        <w:rPr>
          <w:color w:val="auto"/>
          <w:sz w:val="24"/>
          <w:szCs w:val="24"/>
          <w:highlight w:val="none"/>
        </w:rPr>
      </w:pPr>
      <w:r>
        <w:rPr>
          <w:rFonts w:hint="eastAsia"/>
          <w:color w:val="auto"/>
          <w:sz w:val="24"/>
          <w:szCs w:val="24"/>
          <w:highlight w:val="none"/>
        </w:rPr>
        <w:t>我公司（单位、联合体）针对</w:t>
      </w:r>
      <w:r>
        <w:rPr>
          <w:rFonts w:hint="eastAsia"/>
          <w:color w:val="auto"/>
          <w:sz w:val="24"/>
          <w:szCs w:val="24"/>
          <w:highlight w:val="none"/>
          <w:u w:val="single"/>
        </w:rPr>
        <w:t xml:space="preserve">                   </w:t>
      </w:r>
      <w:r>
        <w:rPr>
          <w:rFonts w:hint="eastAsia" w:ascii="宋体" w:hAnsi="宋体"/>
          <w:bCs/>
          <w:color w:val="auto"/>
          <w:sz w:val="24"/>
          <w:szCs w:val="24"/>
          <w:highlight w:val="none"/>
        </w:rPr>
        <w:t>项目，兹授权：</w:t>
      </w:r>
    </w:p>
    <w:p w14:paraId="721FC67B">
      <w:pPr>
        <w:pStyle w:val="241"/>
        <w:ind w:firstLine="480"/>
        <w:rPr>
          <w:color w:val="auto"/>
          <w:sz w:val="24"/>
          <w:szCs w:val="24"/>
          <w:highlight w:val="none"/>
        </w:rPr>
      </w:pPr>
      <w:r>
        <w:rPr>
          <w:rFonts w:hint="eastAsia"/>
          <w:color w:val="auto"/>
          <w:sz w:val="24"/>
          <w:szCs w:val="24"/>
          <w:highlight w:val="none"/>
        </w:rPr>
        <w:t>被授权人的姓名：</w:t>
      </w:r>
      <w:r>
        <w:rPr>
          <w:rFonts w:hint="eastAsia"/>
          <w:color w:val="auto"/>
          <w:sz w:val="24"/>
          <w:szCs w:val="24"/>
          <w:highlight w:val="none"/>
          <w:u w:val="single"/>
        </w:rPr>
        <w:t xml:space="preserve">      </w:t>
      </w:r>
      <w:r>
        <w:rPr>
          <w:rFonts w:hint="eastAsia"/>
          <w:color w:val="auto"/>
          <w:sz w:val="24"/>
          <w:szCs w:val="24"/>
          <w:highlight w:val="none"/>
        </w:rPr>
        <w:t>；性别：</w:t>
      </w:r>
      <w:r>
        <w:rPr>
          <w:rFonts w:hint="eastAsia"/>
          <w:color w:val="auto"/>
          <w:sz w:val="24"/>
          <w:szCs w:val="24"/>
          <w:highlight w:val="none"/>
          <w:u w:val="single"/>
        </w:rPr>
        <w:t xml:space="preserve">    </w:t>
      </w:r>
      <w:r>
        <w:rPr>
          <w:rFonts w:hint="eastAsia"/>
          <w:color w:val="auto"/>
          <w:sz w:val="24"/>
          <w:szCs w:val="24"/>
          <w:highlight w:val="none"/>
        </w:rPr>
        <w:t>；年龄：</w:t>
      </w:r>
      <w:r>
        <w:rPr>
          <w:rFonts w:hint="eastAsia"/>
          <w:color w:val="auto"/>
          <w:sz w:val="24"/>
          <w:szCs w:val="24"/>
          <w:highlight w:val="none"/>
          <w:u w:val="single"/>
        </w:rPr>
        <w:t xml:space="preserve">    </w:t>
      </w:r>
      <w:r>
        <w:rPr>
          <w:rFonts w:hint="eastAsia"/>
          <w:color w:val="auto"/>
          <w:sz w:val="24"/>
          <w:szCs w:val="24"/>
          <w:highlight w:val="none"/>
        </w:rPr>
        <w:t>；职务：</w:t>
      </w:r>
      <w:r>
        <w:rPr>
          <w:rFonts w:hint="eastAsia"/>
          <w:color w:val="auto"/>
          <w:sz w:val="24"/>
          <w:szCs w:val="24"/>
          <w:highlight w:val="none"/>
          <w:u w:val="single"/>
        </w:rPr>
        <w:t xml:space="preserve">      </w:t>
      </w:r>
      <w:r>
        <w:rPr>
          <w:rFonts w:hint="eastAsia"/>
          <w:color w:val="auto"/>
          <w:sz w:val="24"/>
          <w:szCs w:val="24"/>
          <w:highlight w:val="none"/>
        </w:rPr>
        <w:t>；</w:t>
      </w:r>
    </w:p>
    <w:p w14:paraId="6ADD783D">
      <w:pPr>
        <w:pStyle w:val="241"/>
        <w:ind w:firstLine="480"/>
        <w:rPr>
          <w:color w:val="auto"/>
          <w:sz w:val="24"/>
          <w:szCs w:val="24"/>
          <w:highlight w:val="none"/>
        </w:rPr>
      </w:pPr>
      <w:r>
        <w:rPr>
          <w:rFonts w:hint="eastAsia"/>
          <w:color w:val="auto"/>
          <w:sz w:val="24"/>
          <w:szCs w:val="24"/>
          <w:highlight w:val="none"/>
        </w:rPr>
        <w:t>被授权人的身份证号码：</w:t>
      </w:r>
      <w:r>
        <w:rPr>
          <w:rFonts w:hint="eastAsia"/>
          <w:color w:val="auto"/>
          <w:sz w:val="24"/>
          <w:szCs w:val="24"/>
          <w:highlight w:val="none"/>
          <w:u w:val="single"/>
        </w:rPr>
        <w:t xml:space="preserve">                  </w:t>
      </w:r>
      <w:r>
        <w:rPr>
          <w:rFonts w:hint="eastAsia"/>
          <w:color w:val="auto"/>
          <w:sz w:val="24"/>
          <w:szCs w:val="24"/>
          <w:highlight w:val="none"/>
        </w:rPr>
        <w:t>；联系方式：</w:t>
      </w:r>
      <w:r>
        <w:rPr>
          <w:rFonts w:hint="eastAsia"/>
          <w:color w:val="auto"/>
          <w:sz w:val="24"/>
          <w:szCs w:val="24"/>
          <w:highlight w:val="none"/>
          <w:u w:val="single"/>
        </w:rPr>
        <w:t xml:space="preserve">          </w:t>
      </w:r>
      <w:r>
        <w:rPr>
          <w:rFonts w:hint="eastAsia"/>
          <w:color w:val="auto"/>
          <w:sz w:val="24"/>
          <w:szCs w:val="24"/>
          <w:highlight w:val="none"/>
        </w:rPr>
        <w:t>；</w:t>
      </w:r>
    </w:p>
    <w:p w14:paraId="343485A7">
      <w:pPr>
        <w:pStyle w:val="241"/>
        <w:ind w:firstLine="480"/>
        <w:rPr>
          <w:color w:val="auto"/>
          <w:sz w:val="24"/>
          <w:szCs w:val="24"/>
          <w:highlight w:val="none"/>
        </w:rPr>
      </w:pPr>
      <w:r>
        <w:rPr>
          <w:rFonts w:hint="eastAsia"/>
          <w:color w:val="auto"/>
          <w:sz w:val="24"/>
          <w:szCs w:val="24"/>
          <w:highlight w:val="none"/>
        </w:rPr>
        <w:t>为我方合法代理人，以本单位名义全权处理</w:t>
      </w:r>
      <w:r>
        <w:rPr>
          <w:rFonts w:hint="eastAsia" w:ascii="宋体" w:hAnsi="宋体"/>
          <w:bCs/>
          <w:color w:val="auto"/>
          <w:sz w:val="24"/>
          <w:szCs w:val="24"/>
          <w:highlight w:val="none"/>
        </w:rPr>
        <w:t>针对本次项目的采购活动、参与征集活动、签约等具体工作，并签署全部有关的文件、协议及合同以及其他</w:t>
      </w:r>
      <w:r>
        <w:rPr>
          <w:rFonts w:hint="eastAsia"/>
          <w:color w:val="auto"/>
          <w:sz w:val="24"/>
          <w:szCs w:val="24"/>
          <w:highlight w:val="none"/>
        </w:rPr>
        <w:t>一切与该项目采购有关的事务。</w:t>
      </w:r>
    </w:p>
    <w:p w14:paraId="18574D67">
      <w:pPr>
        <w:pStyle w:val="241"/>
        <w:ind w:firstLine="480"/>
        <w:rPr>
          <w:rFonts w:ascii="宋体" w:hAnsi="宋体"/>
          <w:bCs/>
          <w:color w:val="auto"/>
          <w:sz w:val="24"/>
          <w:szCs w:val="24"/>
          <w:highlight w:val="none"/>
        </w:rPr>
      </w:pPr>
      <w:r>
        <w:rPr>
          <w:rFonts w:hint="eastAsia"/>
          <w:color w:val="auto"/>
          <w:sz w:val="24"/>
          <w:szCs w:val="24"/>
          <w:highlight w:val="none"/>
        </w:rPr>
        <w:t>本授权委托书自授权之日起生效，</w:t>
      </w:r>
      <w:r>
        <w:rPr>
          <w:rFonts w:hint="eastAsia" w:ascii="宋体" w:hAnsi="宋体"/>
          <w:bCs/>
          <w:color w:val="auto"/>
          <w:sz w:val="24"/>
          <w:szCs w:val="24"/>
          <w:highlight w:val="none"/>
        </w:rPr>
        <w:t>在撤销授权的书面通知送达你处以前，本授权书一直有效，被授权人签署的所有文件（在</w:t>
      </w:r>
      <w:r>
        <w:rPr>
          <w:rFonts w:hint="eastAsia"/>
          <w:color w:val="auto"/>
          <w:sz w:val="24"/>
          <w:szCs w:val="24"/>
          <w:highlight w:val="none"/>
        </w:rPr>
        <w:t>授权委托</w:t>
      </w:r>
      <w:r>
        <w:rPr>
          <w:rFonts w:hint="eastAsia" w:ascii="宋体" w:hAnsi="宋体"/>
          <w:bCs/>
          <w:color w:val="auto"/>
          <w:sz w:val="24"/>
          <w:szCs w:val="24"/>
          <w:highlight w:val="none"/>
        </w:rPr>
        <w:t>书有效期内签署的）不因授权的撤销而失效。</w:t>
      </w:r>
    </w:p>
    <w:p w14:paraId="619FA4C7">
      <w:pPr>
        <w:pStyle w:val="241"/>
        <w:ind w:firstLine="480"/>
        <w:rPr>
          <w:color w:val="auto"/>
          <w:sz w:val="24"/>
          <w:szCs w:val="24"/>
          <w:highlight w:val="none"/>
        </w:rPr>
      </w:pPr>
      <w:r>
        <w:rPr>
          <w:rFonts w:hint="eastAsia"/>
          <w:color w:val="auto"/>
          <w:sz w:val="24"/>
          <w:szCs w:val="24"/>
          <w:highlight w:val="none"/>
        </w:rPr>
        <w:t>特此授权委托。</w:t>
      </w:r>
    </w:p>
    <w:p w14:paraId="3D579541">
      <w:pPr>
        <w:pStyle w:val="241"/>
        <w:ind w:firstLine="0"/>
        <w:rPr>
          <w:color w:val="auto"/>
          <w:sz w:val="24"/>
          <w:szCs w:val="24"/>
          <w:highlight w:val="none"/>
          <w:u w:val="single"/>
        </w:rPr>
      </w:pPr>
      <w:r>
        <w:rPr>
          <w:rFonts w:hint="eastAsia"/>
          <w:color w:val="auto"/>
          <w:sz w:val="24"/>
          <w:szCs w:val="24"/>
          <w:highlight w:val="none"/>
        </w:rPr>
        <w:t>授权日期：</w:t>
      </w:r>
      <w:r>
        <w:rPr>
          <w:rFonts w:hint="eastAsia"/>
          <w:color w:val="auto"/>
          <w:sz w:val="24"/>
          <w:szCs w:val="24"/>
          <w:highlight w:val="none"/>
          <w:u w:val="single"/>
        </w:rPr>
        <w:t xml:space="preserve">    </w:t>
      </w:r>
      <w:r>
        <w:rPr>
          <w:rFonts w:hint="eastAsia"/>
          <w:color w:val="auto"/>
          <w:sz w:val="24"/>
          <w:szCs w:val="24"/>
          <w:highlight w:val="none"/>
        </w:rPr>
        <w:t>年</w:t>
      </w:r>
      <w:r>
        <w:rPr>
          <w:rFonts w:hint="eastAsia"/>
          <w:color w:val="auto"/>
          <w:sz w:val="24"/>
          <w:szCs w:val="24"/>
          <w:highlight w:val="none"/>
          <w:u w:val="single"/>
        </w:rPr>
        <w:t xml:space="preserve">    </w:t>
      </w:r>
      <w:r>
        <w:rPr>
          <w:rFonts w:hint="eastAsia"/>
          <w:color w:val="auto"/>
          <w:sz w:val="24"/>
          <w:szCs w:val="24"/>
          <w:highlight w:val="none"/>
        </w:rPr>
        <w:t>月</w:t>
      </w:r>
      <w:r>
        <w:rPr>
          <w:rFonts w:hint="eastAsia"/>
          <w:color w:val="auto"/>
          <w:sz w:val="24"/>
          <w:szCs w:val="24"/>
          <w:highlight w:val="none"/>
          <w:u w:val="single"/>
        </w:rPr>
        <w:t xml:space="preserve">    </w:t>
      </w:r>
      <w:r>
        <w:rPr>
          <w:rFonts w:hint="eastAsia"/>
          <w:color w:val="auto"/>
          <w:sz w:val="24"/>
          <w:szCs w:val="24"/>
          <w:highlight w:val="none"/>
        </w:rPr>
        <w:t>日                     供应商名称</w:t>
      </w:r>
      <w:r>
        <w:rPr>
          <w:rFonts w:hint="eastAsia" w:ascii="宋体" w:hAnsi="宋体"/>
          <w:bCs/>
          <w:color w:val="auto"/>
          <w:sz w:val="24"/>
          <w:szCs w:val="24"/>
          <w:highlight w:val="none"/>
        </w:rPr>
        <w:t>（盖章）</w:t>
      </w:r>
      <w:r>
        <w:rPr>
          <w:rFonts w:hint="eastAsia"/>
          <w:color w:val="auto"/>
          <w:sz w:val="24"/>
          <w:szCs w:val="24"/>
          <w:highlight w:val="none"/>
        </w:rPr>
        <w:t>：</w:t>
      </w:r>
    </w:p>
    <w:p w14:paraId="08AE9E21">
      <w:pPr>
        <w:pStyle w:val="241"/>
        <w:ind w:firstLine="0"/>
        <w:rPr>
          <w:color w:val="auto"/>
          <w:sz w:val="24"/>
          <w:szCs w:val="24"/>
          <w:highlight w:val="none"/>
        </w:rPr>
      </w:pPr>
      <w:r>
        <w:rPr>
          <w:rFonts w:hint="eastAsia"/>
          <w:color w:val="auto"/>
          <w:sz w:val="24"/>
          <w:szCs w:val="24"/>
          <w:highlight w:val="none"/>
        </w:rPr>
        <w:t>法定代表人签字或盖章：</w:t>
      </w:r>
      <w:r>
        <w:rPr>
          <w:rFonts w:hint="eastAsia"/>
          <w:color w:val="auto"/>
          <w:sz w:val="24"/>
          <w:szCs w:val="24"/>
          <w:highlight w:val="none"/>
          <w:u w:val="single"/>
        </w:rPr>
        <w:t xml:space="preserve">        </w:t>
      </w:r>
      <w:r>
        <w:rPr>
          <w:rFonts w:hint="eastAsia"/>
          <w:color w:val="auto"/>
          <w:sz w:val="24"/>
          <w:szCs w:val="24"/>
          <w:highlight w:val="none"/>
        </w:rPr>
        <w:t xml:space="preserve">             被授权人签字或盖章：</w:t>
      </w:r>
      <w:r>
        <w:rPr>
          <w:rFonts w:hint="eastAsia"/>
          <w:color w:val="auto"/>
          <w:sz w:val="24"/>
          <w:szCs w:val="24"/>
          <w:highlight w:val="none"/>
          <w:u w:val="single"/>
        </w:rPr>
        <w:t xml:space="preserve">        </w:t>
      </w:r>
    </w:p>
    <w:p w14:paraId="719B59FC">
      <w:pPr>
        <w:pStyle w:val="241"/>
        <w:ind w:firstLine="0"/>
        <w:rPr>
          <w:color w:val="auto"/>
          <w:sz w:val="24"/>
          <w:szCs w:val="24"/>
          <w:highlight w:val="none"/>
        </w:rPr>
      </w:pPr>
      <w:r>
        <w:rPr>
          <w:rFonts w:hint="eastAsia" w:ascii="宋体" w:hAnsi="宋体" w:cs="宋体"/>
          <w:b/>
          <w:color w:val="auto"/>
          <w:szCs w:val="28"/>
          <w:highlight w:val="none"/>
          <w:u w:val="single"/>
        </w:rPr>
        <w:t>响应文件中须提供本授权委托书中的被授权人有效身份证扫描件；如被授权人为法定代表人（或以下说明所述的单位负责人）时，则提供法定代表人（或以下说明所述的单位负责人）有效身份证扫描件。</w:t>
      </w:r>
    </w:p>
    <w:p w14:paraId="72670B0E">
      <w:pPr>
        <w:pStyle w:val="241"/>
        <w:ind w:firstLine="0"/>
        <w:rPr>
          <w:color w:val="auto"/>
          <w:sz w:val="24"/>
          <w:szCs w:val="24"/>
          <w:highlight w:val="none"/>
        </w:rPr>
      </w:pPr>
    </w:p>
    <w:p w14:paraId="1961293B">
      <w:pPr>
        <w:pStyle w:val="241"/>
        <w:spacing w:line="360" w:lineRule="auto"/>
        <w:ind w:firstLine="0"/>
        <w:rPr>
          <w:color w:val="auto"/>
          <w:sz w:val="21"/>
          <w:szCs w:val="21"/>
          <w:highlight w:val="none"/>
        </w:rPr>
      </w:pPr>
      <w:r>
        <w:rPr>
          <w:rFonts w:hint="eastAsia"/>
          <w:color w:val="auto"/>
          <w:sz w:val="21"/>
          <w:szCs w:val="21"/>
          <w:highlight w:val="none"/>
        </w:rPr>
        <w:t>说明：</w:t>
      </w:r>
    </w:p>
    <w:p w14:paraId="748B8FFC">
      <w:pPr>
        <w:pStyle w:val="241"/>
        <w:numPr>
          <w:ilvl w:val="0"/>
          <w:numId w:val="8"/>
        </w:numPr>
        <w:spacing w:line="360" w:lineRule="auto"/>
        <w:ind w:firstLine="420"/>
        <w:rPr>
          <w:rFonts w:ascii="宋体" w:hAnsi="宋体"/>
          <w:color w:val="auto"/>
          <w:sz w:val="21"/>
          <w:szCs w:val="21"/>
          <w:highlight w:val="none"/>
        </w:rPr>
      </w:pPr>
      <w:r>
        <w:rPr>
          <w:rFonts w:ascii="宋体" w:hAnsi="宋体"/>
          <w:color w:val="auto"/>
          <w:sz w:val="21"/>
          <w:szCs w:val="21"/>
          <w:highlight w:val="none"/>
        </w:rPr>
        <w:t>若</w:t>
      </w:r>
      <w:r>
        <w:rPr>
          <w:rFonts w:hint="eastAsia"/>
          <w:color w:val="auto"/>
          <w:sz w:val="21"/>
          <w:szCs w:val="21"/>
          <w:highlight w:val="none"/>
        </w:rPr>
        <w:t>供应商</w:t>
      </w:r>
      <w:r>
        <w:rPr>
          <w:rFonts w:ascii="宋体" w:hAnsi="宋体"/>
          <w:color w:val="auto"/>
          <w:sz w:val="21"/>
          <w:szCs w:val="21"/>
          <w:highlight w:val="none"/>
        </w:rPr>
        <w:t>为事业单位或其他组织或分支机构（仅</w:t>
      </w:r>
      <w:r>
        <w:rPr>
          <w:rFonts w:hint="eastAsia" w:ascii="宋体" w:hAnsi="宋体"/>
          <w:color w:val="auto"/>
          <w:sz w:val="21"/>
          <w:szCs w:val="21"/>
          <w:highlight w:val="none"/>
        </w:rPr>
        <w:t>限征集文件</w:t>
      </w:r>
      <w:r>
        <w:rPr>
          <w:rFonts w:ascii="宋体" w:hAnsi="宋体"/>
          <w:color w:val="auto"/>
          <w:sz w:val="21"/>
          <w:szCs w:val="21"/>
          <w:highlight w:val="none"/>
        </w:rPr>
        <w:t>注明允许分支机构</w:t>
      </w:r>
      <w:r>
        <w:rPr>
          <w:rFonts w:hint="eastAsia" w:ascii="宋体" w:hAnsi="宋体"/>
          <w:color w:val="auto"/>
          <w:sz w:val="21"/>
          <w:szCs w:val="21"/>
          <w:highlight w:val="none"/>
        </w:rPr>
        <w:t>参与情形</w:t>
      </w:r>
      <w:r>
        <w:rPr>
          <w:rFonts w:ascii="宋体" w:hAnsi="宋体"/>
          <w:color w:val="auto"/>
          <w:sz w:val="21"/>
          <w:szCs w:val="21"/>
          <w:highlight w:val="none"/>
        </w:rPr>
        <w:t>的），则法定代表人</w:t>
      </w:r>
      <w:r>
        <w:rPr>
          <w:rFonts w:hint="eastAsia" w:ascii="宋体" w:hAnsi="宋体"/>
          <w:color w:val="auto"/>
          <w:sz w:val="21"/>
          <w:szCs w:val="21"/>
          <w:highlight w:val="none"/>
        </w:rPr>
        <w:t>处</w:t>
      </w:r>
      <w:r>
        <w:rPr>
          <w:rFonts w:ascii="宋体" w:hAnsi="宋体"/>
          <w:color w:val="auto"/>
          <w:sz w:val="21"/>
          <w:szCs w:val="21"/>
          <w:highlight w:val="none"/>
        </w:rPr>
        <w:t>的签</w:t>
      </w:r>
      <w:r>
        <w:rPr>
          <w:rFonts w:hint="eastAsia" w:ascii="宋体" w:hAnsi="宋体"/>
          <w:color w:val="auto"/>
          <w:sz w:val="21"/>
          <w:szCs w:val="21"/>
          <w:highlight w:val="none"/>
        </w:rPr>
        <w:t>字</w:t>
      </w:r>
      <w:r>
        <w:rPr>
          <w:rFonts w:ascii="宋体" w:hAnsi="宋体"/>
          <w:color w:val="auto"/>
          <w:sz w:val="21"/>
          <w:szCs w:val="21"/>
          <w:highlight w:val="none"/>
        </w:rPr>
        <w:t>人可为单位负责人</w:t>
      </w:r>
      <w:r>
        <w:rPr>
          <w:rFonts w:hint="eastAsia" w:ascii="宋体" w:hAnsi="宋体"/>
          <w:color w:val="auto"/>
          <w:sz w:val="21"/>
          <w:szCs w:val="21"/>
          <w:highlight w:val="none"/>
        </w:rPr>
        <w:t>。</w:t>
      </w:r>
    </w:p>
    <w:p w14:paraId="35402D7B">
      <w:pPr>
        <w:pStyle w:val="241"/>
        <w:numPr>
          <w:ilvl w:val="0"/>
          <w:numId w:val="8"/>
        </w:numPr>
        <w:spacing w:line="360" w:lineRule="auto"/>
        <w:ind w:firstLine="420"/>
        <w:rPr>
          <w:rFonts w:ascii="宋体" w:hAnsi="宋体"/>
          <w:color w:val="auto"/>
          <w:sz w:val="21"/>
          <w:szCs w:val="21"/>
          <w:highlight w:val="none"/>
        </w:rPr>
      </w:pPr>
      <w:r>
        <w:rPr>
          <w:rFonts w:hint="eastAsia" w:ascii="宋体" w:hAnsi="宋体"/>
          <w:color w:val="auto"/>
          <w:sz w:val="21"/>
          <w:szCs w:val="21"/>
          <w:highlight w:val="none"/>
        </w:rPr>
        <w:t>当被授权人为法定代表人（或上述情况的单位负责人）时，被授权人相关内容填报为法定代表人（或上述情况的单位负责人）信息，“被授权人签字或盖章”处可不用再重复签字或盖章。</w:t>
      </w:r>
    </w:p>
    <w:p w14:paraId="6300B406">
      <w:pPr>
        <w:pStyle w:val="241"/>
        <w:numPr>
          <w:ilvl w:val="0"/>
          <w:numId w:val="8"/>
        </w:numPr>
        <w:spacing w:line="360" w:lineRule="auto"/>
        <w:ind w:firstLine="420"/>
        <w:rPr>
          <w:rFonts w:ascii="宋体" w:hAnsi="宋体"/>
          <w:color w:val="auto"/>
          <w:sz w:val="21"/>
          <w:szCs w:val="21"/>
          <w:highlight w:val="none"/>
        </w:rPr>
      </w:pPr>
      <w:r>
        <w:rPr>
          <w:rFonts w:hint="eastAsia" w:ascii="宋体" w:hAnsi="宋体"/>
          <w:bCs/>
          <w:color w:val="auto"/>
          <w:sz w:val="21"/>
          <w:szCs w:val="21"/>
          <w:highlight w:val="none"/>
        </w:rPr>
        <w:t>被授权人为外籍、港、澳、台地区人士的，其身份证明须提供有效的护照或港澳同胞来往内地通行证、台湾同胞来往大陆通行证，或其他可在中国大陆有效居留的许可证明。</w:t>
      </w:r>
    </w:p>
    <w:p w14:paraId="3CD722A5">
      <w:pPr>
        <w:pStyle w:val="241"/>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13DFD3D9">
      <w:pPr>
        <w:jc w:val="center"/>
        <w:outlineLvl w:val="0"/>
        <w:rPr>
          <w:rFonts w:ascii="黑体" w:eastAsia="黑体"/>
          <w:bCs/>
          <w:color w:val="auto"/>
          <w:sz w:val="28"/>
          <w:szCs w:val="28"/>
          <w:highlight w:val="none"/>
        </w:rPr>
      </w:pPr>
      <w:bookmarkStart w:id="281" w:name="报价方关于资格的声明函（格式）"/>
      <w:bookmarkEnd w:id="281"/>
      <w:r>
        <w:rPr>
          <w:rFonts w:hint="eastAsia" w:ascii="黑体" w:eastAsia="黑体"/>
          <w:bCs/>
          <w:color w:val="auto"/>
          <w:sz w:val="28"/>
          <w:szCs w:val="28"/>
          <w:highlight w:val="none"/>
        </w:rPr>
        <w:t>资格声明函</w:t>
      </w:r>
    </w:p>
    <w:p w14:paraId="5344AB88">
      <w:pPr>
        <w:spacing w:line="480" w:lineRule="auto"/>
        <w:jc w:val="center"/>
        <w:rPr>
          <w:rFonts w:ascii="宋体"/>
          <w:bCs/>
          <w:color w:val="auto"/>
          <w:sz w:val="24"/>
          <w:szCs w:val="24"/>
          <w:highlight w:val="none"/>
        </w:rPr>
      </w:pPr>
    </w:p>
    <w:p w14:paraId="451FD632">
      <w:pPr>
        <w:spacing w:line="480" w:lineRule="auto"/>
        <w:rPr>
          <w:rFonts w:ascii="宋体"/>
          <w:bCs/>
          <w:color w:val="auto"/>
          <w:sz w:val="24"/>
          <w:szCs w:val="24"/>
          <w:highlight w:val="none"/>
        </w:rPr>
      </w:pPr>
      <w:r>
        <w:rPr>
          <w:rFonts w:hint="eastAsia" w:ascii="宋体" w:hAnsi="宋体"/>
          <w:bCs/>
          <w:color w:val="auto"/>
          <w:sz w:val="24"/>
          <w:szCs w:val="24"/>
          <w:highlight w:val="none"/>
        </w:rPr>
        <w:t>无锡市滨湖区残疾人联合会：</w:t>
      </w:r>
    </w:p>
    <w:p w14:paraId="34651140">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我公司（单位、联合体）针对本次项目参与征集活动，并作如下声明</w:t>
      </w:r>
    </w:p>
    <w:p w14:paraId="63FCD719">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507DD64C">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2.本公司（单位、联合体）具备本次项目履行合同所必需的设备和专业技术能力。</w:t>
      </w:r>
    </w:p>
    <w:p w14:paraId="31F86F41">
      <w:pPr>
        <w:spacing w:line="480" w:lineRule="auto"/>
        <w:ind w:firstLine="480"/>
        <w:rPr>
          <w:rFonts w:ascii="宋体" w:hAnsi="宋体"/>
          <w:bCs/>
          <w:color w:val="auto"/>
          <w:sz w:val="24"/>
          <w:szCs w:val="24"/>
          <w:highlight w:val="none"/>
        </w:rPr>
      </w:pPr>
      <w:r>
        <w:rPr>
          <w:rFonts w:hint="eastAsia" w:ascii="宋体" w:hAnsi="宋体"/>
          <w:bCs/>
          <w:color w:val="auto"/>
          <w:sz w:val="24"/>
          <w:szCs w:val="24"/>
          <w:highlight w:val="none"/>
        </w:rPr>
        <w:t>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p>
    <w:p w14:paraId="1C9638F9">
      <w:pPr>
        <w:spacing w:line="480" w:lineRule="auto"/>
        <w:ind w:firstLine="480"/>
        <w:rPr>
          <w:rFonts w:ascii="宋体"/>
          <w:bCs/>
          <w:color w:val="auto"/>
          <w:sz w:val="24"/>
          <w:szCs w:val="24"/>
          <w:highlight w:val="none"/>
        </w:rPr>
      </w:pPr>
      <w:r>
        <w:rPr>
          <w:rFonts w:hint="eastAsia" w:ascii="宋体" w:hAnsi="宋体"/>
          <w:bCs/>
          <w:color w:val="auto"/>
          <w:sz w:val="24"/>
          <w:szCs w:val="24"/>
          <w:highlight w:val="none"/>
        </w:rPr>
        <w:t>我公司（单位、联合体）针对本次项目的上述声明以及响应文件中所有关于报价资格的文件、证明、陈述均是真实的、准确的。若有违背，我公司（单位、联合体）愿意承担由此而产生的一切后果。</w:t>
      </w:r>
    </w:p>
    <w:p w14:paraId="3BB0F30C">
      <w:pPr>
        <w:spacing w:line="480" w:lineRule="auto"/>
        <w:rPr>
          <w:rFonts w:ascii="宋体"/>
          <w:bCs/>
          <w:color w:val="auto"/>
          <w:sz w:val="24"/>
          <w:szCs w:val="24"/>
          <w:highlight w:val="none"/>
        </w:rPr>
      </w:pPr>
    </w:p>
    <w:p w14:paraId="498576D4">
      <w:pPr>
        <w:spacing w:line="480" w:lineRule="auto"/>
        <w:rPr>
          <w:rFonts w:ascii="宋体"/>
          <w:bCs/>
          <w:color w:val="auto"/>
          <w:sz w:val="24"/>
          <w:szCs w:val="24"/>
          <w:highlight w:val="none"/>
        </w:rPr>
      </w:pPr>
      <w:r>
        <w:rPr>
          <w:rFonts w:hint="eastAsia" w:ascii="宋体" w:hAnsi="宋体"/>
          <w:bCs/>
          <w:color w:val="auto"/>
          <w:sz w:val="24"/>
          <w:szCs w:val="24"/>
          <w:highlight w:val="none"/>
        </w:rPr>
        <w:t>供应商名称（盖章）：</w:t>
      </w:r>
    </w:p>
    <w:p w14:paraId="5B225E1F">
      <w:pPr>
        <w:spacing w:line="440" w:lineRule="exact"/>
        <w:rPr>
          <w:b/>
          <w:color w:val="auto"/>
          <w:sz w:val="28"/>
          <w:szCs w:val="28"/>
          <w:highlight w:val="none"/>
        </w:rPr>
      </w:pPr>
      <w:r>
        <w:rPr>
          <w:rFonts w:ascii="宋体"/>
          <w:bCs/>
          <w:color w:val="auto"/>
          <w:sz w:val="24"/>
          <w:szCs w:val="24"/>
          <w:highlight w:val="none"/>
        </w:rPr>
        <w:br w:type="page" w:clear="all"/>
      </w:r>
      <w:r>
        <w:rPr>
          <w:rFonts w:hint="eastAsia"/>
          <w:b/>
          <w:color w:val="auto"/>
          <w:sz w:val="28"/>
          <w:szCs w:val="28"/>
          <w:highlight w:val="none"/>
        </w:rPr>
        <w:t>四</w:t>
      </w:r>
      <w:r>
        <w:rPr>
          <w:b/>
          <w:color w:val="auto"/>
          <w:sz w:val="28"/>
          <w:szCs w:val="28"/>
          <w:highlight w:val="none"/>
        </w:rPr>
        <w:t>、</w:t>
      </w:r>
      <w:r>
        <w:rPr>
          <w:rFonts w:hint="eastAsia"/>
          <w:b/>
          <w:color w:val="auto"/>
          <w:sz w:val="28"/>
          <w:szCs w:val="28"/>
          <w:highlight w:val="none"/>
        </w:rPr>
        <w:t>响应</w:t>
      </w:r>
      <w:r>
        <w:rPr>
          <w:b/>
          <w:color w:val="auto"/>
          <w:sz w:val="28"/>
          <w:szCs w:val="28"/>
          <w:highlight w:val="none"/>
        </w:rPr>
        <w:t>函</w:t>
      </w:r>
      <w:r>
        <w:rPr>
          <w:rFonts w:hint="eastAsia"/>
          <w:b/>
          <w:color w:val="auto"/>
          <w:sz w:val="28"/>
          <w:szCs w:val="28"/>
          <w:highlight w:val="none"/>
        </w:rPr>
        <w:t>（给定格式）：</w:t>
      </w:r>
    </w:p>
    <w:p w14:paraId="55673D5B">
      <w:pPr>
        <w:spacing w:line="360" w:lineRule="auto"/>
        <w:rPr>
          <w:b/>
          <w:color w:val="auto"/>
          <w:sz w:val="30"/>
          <w:szCs w:val="30"/>
          <w:highlight w:val="none"/>
        </w:rPr>
      </w:pPr>
    </w:p>
    <w:p w14:paraId="00D2002D">
      <w:pPr>
        <w:spacing w:line="400" w:lineRule="exact"/>
        <w:jc w:val="center"/>
        <w:rPr>
          <w:rFonts w:ascii="宋体"/>
          <w:bCs/>
          <w:color w:val="auto"/>
          <w:sz w:val="24"/>
          <w:szCs w:val="24"/>
          <w:highlight w:val="none"/>
        </w:rPr>
      </w:pPr>
      <w:r>
        <w:rPr>
          <w:rFonts w:hint="eastAsia" w:ascii="黑体" w:eastAsia="黑体"/>
          <w:bCs/>
          <w:color w:val="auto"/>
          <w:sz w:val="28"/>
          <w:szCs w:val="28"/>
          <w:highlight w:val="none"/>
        </w:rPr>
        <w:t>响应函</w:t>
      </w:r>
    </w:p>
    <w:p w14:paraId="2B362B1C">
      <w:pPr>
        <w:spacing w:line="400" w:lineRule="exact"/>
        <w:rPr>
          <w:rFonts w:ascii="宋体"/>
          <w:bCs/>
          <w:color w:val="auto"/>
          <w:sz w:val="24"/>
          <w:szCs w:val="24"/>
          <w:highlight w:val="none"/>
        </w:rPr>
      </w:pPr>
      <w:r>
        <w:rPr>
          <w:rFonts w:hint="eastAsia" w:ascii="宋体" w:hAnsi="宋体"/>
          <w:bCs/>
          <w:color w:val="auto"/>
          <w:sz w:val="24"/>
          <w:szCs w:val="24"/>
          <w:highlight w:val="none"/>
        </w:rPr>
        <w:t>致无锡市滨湖区残疾人联合会：</w:t>
      </w:r>
    </w:p>
    <w:p w14:paraId="614EBBAD">
      <w:pPr>
        <w:spacing w:line="400" w:lineRule="exact"/>
        <w:ind w:firstLine="480"/>
        <w:rPr>
          <w:rFonts w:ascii="宋体"/>
          <w:bCs/>
          <w:color w:val="auto"/>
          <w:sz w:val="24"/>
          <w:szCs w:val="24"/>
          <w:highlight w:val="none"/>
        </w:rPr>
      </w:pPr>
    </w:p>
    <w:p w14:paraId="2FF03E6F">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我方收到贵方编号为：      征集文件，经仔细阅读和研究，我方决定参加此项目的征集活动。</w:t>
      </w:r>
    </w:p>
    <w:p w14:paraId="14289963">
      <w:pPr>
        <w:numPr>
          <w:ilvl w:val="0"/>
          <w:numId w:val="9"/>
        </w:numPr>
        <w:tabs>
          <w:tab w:val="left" w:pos="315"/>
          <w:tab w:val="left" w:pos="840"/>
          <w:tab w:val="left" w:pos="945"/>
          <w:tab w:val="left" w:pos="1050"/>
          <w:tab w:val="left" w:pos="1260"/>
          <w:tab w:val="clear" w:pos="552"/>
        </w:tabs>
        <w:spacing w:line="400" w:lineRule="exact"/>
        <w:ind w:left="0" w:firstLine="525"/>
        <w:rPr>
          <w:rFonts w:ascii="宋体"/>
          <w:bCs/>
          <w:color w:val="auto"/>
          <w:sz w:val="24"/>
          <w:szCs w:val="24"/>
          <w:highlight w:val="none"/>
        </w:rPr>
      </w:pPr>
      <w:r>
        <w:rPr>
          <w:rFonts w:hint="eastAsia" w:ascii="宋体" w:hAnsi="宋体"/>
          <w:bCs/>
          <w:color w:val="auto"/>
          <w:sz w:val="24"/>
          <w:szCs w:val="24"/>
          <w:highlight w:val="none"/>
        </w:rPr>
        <w:t>我方愿意按照征集文件的一切要求，提供本项目的报价，报价见《报价一览表》。</w:t>
      </w:r>
    </w:p>
    <w:p w14:paraId="28E28970">
      <w:pPr>
        <w:numPr>
          <w:ilvl w:val="0"/>
          <w:numId w:val="9"/>
        </w:numPr>
        <w:tabs>
          <w:tab w:val="left" w:pos="0"/>
          <w:tab w:val="left" w:pos="315"/>
          <w:tab w:val="left" w:pos="525"/>
          <w:tab w:val="left" w:pos="840"/>
          <w:tab w:val="left" w:pos="945"/>
          <w:tab w:val="left" w:pos="1050"/>
          <w:tab w:val="clear" w:pos="552"/>
        </w:tabs>
        <w:spacing w:line="400" w:lineRule="exact"/>
        <w:ind w:left="0" w:firstLine="523"/>
        <w:rPr>
          <w:rStyle w:val="54"/>
          <w:bCs/>
          <w:color w:val="auto"/>
          <w:highlight w:val="none"/>
        </w:rPr>
      </w:pPr>
      <w:r>
        <w:rPr>
          <w:rFonts w:hint="eastAsia" w:ascii="宋体" w:hAnsi="宋体"/>
          <w:bCs/>
          <w:color w:val="auto"/>
          <w:sz w:val="24"/>
          <w:szCs w:val="24"/>
          <w:highlight w:val="none"/>
        </w:rPr>
        <w:t>我方愿意提供征集文件中要求的文件、资料。</w:t>
      </w:r>
    </w:p>
    <w:p w14:paraId="4CF84158">
      <w:pPr>
        <w:numPr>
          <w:ilvl w:val="0"/>
          <w:numId w:val="9"/>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我方同意按征集文件中的规定，从征集文件规定的</w:t>
      </w:r>
      <w:r>
        <w:rPr>
          <w:rFonts w:hint="eastAsia" w:ascii="宋体" w:hAnsi="宋体"/>
          <w:bCs/>
          <w:color w:val="auto"/>
          <w:sz w:val="24"/>
          <w:highlight w:val="none"/>
        </w:rPr>
        <w:t>响应文件有效期</w:t>
      </w:r>
      <w:r>
        <w:rPr>
          <w:rFonts w:hint="eastAsia" w:ascii="宋体" w:hAnsi="宋体"/>
          <w:bCs/>
          <w:color w:val="auto"/>
          <w:sz w:val="24"/>
          <w:szCs w:val="24"/>
          <w:highlight w:val="none"/>
        </w:rPr>
        <w:t>内遵循本响应文件，并在规定的</w:t>
      </w:r>
      <w:r>
        <w:rPr>
          <w:rFonts w:hint="eastAsia" w:ascii="宋体" w:hAnsi="宋体"/>
          <w:bCs/>
          <w:color w:val="auto"/>
          <w:sz w:val="24"/>
          <w:highlight w:val="none"/>
        </w:rPr>
        <w:t>响应文件</w:t>
      </w:r>
      <w:r>
        <w:rPr>
          <w:rFonts w:hint="eastAsia" w:ascii="宋体" w:hAnsi="宋体"/>
          <w:bCs/>
          <w:color w:val="auto"/>
          <w:sz w:val="24"/>
          <w:szCs w:val="24"/>
          <w:highlight w:val="none"/>
        </w:rPr>
        <w:t>有效期期满之前均具有约束力。</w:t>
      </w:r>
    </w:p>
    <w:p w14:paraId="2041F743">
      <w:pPr>
        <w:numPr>
          <w:ilvl w:val="0"/>
          <w:numId w:val="9"/>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如果我方的响应文件被接受，我方将履行征集文件中规定的每一项要求，按期、按质、按量，完成交货任务。</w:t>
      </w:r>
    </w:p>
    <w:p w14:paraId="5B053184">
      <w:pPr>
        <w:numPr>
          <w:ilvl w:val="0"/>
          <w:numId w:val="9"/>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我方完全同意征集文件规定的决定成交者的方式。</w:t>
      </w:r>
    </w:p>
    <w:p w14:paraId="23F0D690">
      <w:pPr>
        <w:numPr>
          <w:ilvl w:val="0"/>
          <w:numId w:val="9"/>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我方愿意遵守《中华人民共和国政府采购法》，并按《中华人民共和国民法典》等相关法律法规和合同条款履行自己的全部责任。</w:t>
      </w:r>
    </w:p>
    <w:p w14:paraId="3E036B9A">
      <w:pPr>
        <w:numPr>
          <w:ilvl w:val="0"/>
          <w:numId w:val="9"/>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我方已详细审核全部征集文件及其有效补充文件，我们知道必须放弃提出含糊不清或误解问题的权利。</w:t>
      </w:r>
    </w:p>
    <w:p w14:paraId="30583729">
      <w:pPr>
        <w:numPr>
          <w:ilvl w:val="0"/>
          <w:numId w:val="9"/>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如我方在提交响应文件截止期后撤回响应文件及成交后拒绝遵守响应承诺或拒绝在规定的时间内与采购人签订合同，则接受政府采购监督管理部门的处理。</w:t>
      </w:r>
    </w:p>
    <w:p w14:paraId="4F71F74F">
      <w:pPr>
        <w:numPr>
          <w:ilvl w:val="0"/>
          <w:numId w:val="9"/>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如果我方第二阶段被确定为成交供应商，我方愿意按采购人要求交纳履约保证金。且我方如无不可抗力，又未履行征集文件、响应文件和合同条款的，一经查实，我方愿意赔偿由此而造成的一切损失，并同意接受按征集文件的相关要求对我方进行的处理。</w:t>
      </w:r>
    </w:p>
    <w:p w14:paraId="3D4D574A">
      <w:pPr>
        <w:numPr>
          <w:ilvl w:val="0"/>
          <w:numId w:val="9"/>
        </w:numPr>
        <w:tabs>
          <w:tab w:val="left" w:pos="0"/>
          <w:tab w:val="left" w:pos="315"/>
          <w:tab w:val="left" w:pos="525"/>
          <w:tab w:val="left" w:pos="945"/>
          <w:tab w:val="left" w:pos="1050"/>
          <w:tab w:val="clear" w:pos="552"/>
        </w:tabs>
        <w:spacing w:line="400" w:lineRule="exact"/>
        <w:ind w:left="0" w:firstLine="523"/>
        <w:rPr>
          <w:rFonts w:ascii="宋体"/>
          <w:bCs/>
          <w:color w:val="auto"/>
          <w:sz w:val="24"/>
          <w:szCs w:val="24"/>
          <w:highlight w:val="none"/>
        </w:rPr>
      </w:pPr>
      <w:r>
        <w:rPr>
          <w:rFonts w:hint="eastAsia" w:ascii="宋体" w:hAnsi="宋体"/>
          <w:bCs/>
          <w:color w:val="auto"/>
          <w:sz w:val="24"/>
          <w:szCs w:val="24"/>
          <w:highlight w:val="none"/>
        </w:rPr>
        <w:t>我方决不提供虚假材料谋取入围或成交、决不采取不正当手段诋毁、排挤其他供应商、决不与征集人、采购人、其他供应商恶意串通、决不向采购人、征集人和评委等相关人员进行商业贿赂、决不在采购过程中与征集人进行协商谈判、决不拒绝有关部门监督检查或提供虚假情况，如有违反，无条件接受相关管理部门的处罚。</w:t>
      </w:r>
    </w:p>
    <w:p w14:paraId="082F590B">
      <w:pPr>
        <w:spacing w:line="400" w:lineRule="exact"/>
        <w:ind w:firstLine="480"/>
        <w:rPr>
          <w:rFonts w:ascii="宋体"/>
          <w:bCs/>
          <w:color w:val="auto"/>
          <w:sz w:val="24"/>
          <w:szCs w:val="24"/>
          <w:highlight w:val="none"/>
        </w:rPr>
      </w:pPr>
      <w:r>
        <w:rPr>
          <w:rFonts w:hint="eastAsia" w:ascii="宋体" w:hAnsi="宋体"/>
          <w:bCs/>
          <w:color w:val="auto"/>
          <w:sz w:val="24"/>
          <w:szCs w:val="24"/>
          <w:highlight w:val="none"/>
        </w:rPr>
        <w:t>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；邮编：</w:t>
      </w:r>
      <w:r>
        <w:rPr>
          <w:rFonts w:hint="eastAsia" w:ascii="宋体" w:hAnsi="宋体"/>
          <w:bCs/>
          <w:color w:val="auto"/>
          <w:sz w:val="24"/>
          <w:szCs w:val="24"/>
          <w:highlight w:val="none"/>
          <w:u w:val="single"/>
        </w:rPr>
        <w:t xml:space="preserve">               </w:t>
      </w:r>
    </w:p>
    <w:p w14:paraId="70F2382C">
      <w:pPr>
        <w:spacing w:line="400" w:lineRule="exact"/>
        <w:ind w:firstLine="480"/>
        <w:rPr>
          <w:rFonts w:ascii="宋体" w:hAnsi="宋体"/>
          <w:bCs/>
          <w:color w:val="auto"/>
          <w:sz w:val="24"/>
          <w:szCs w:val="24"/>
          <w:highlight w:val="none"/>
          <w:u w:val="single"/>
        </w:rPr>
      </w:pPr>
      <w:r>
        <w:rPr>
          <w:rFonts w:hint="eastAsia" w:ascii="宋体" w:hAnsi="宋体"/>
          <w:bCs/>
          <w:color w:val="auto"/>
          <w:sz w:val="24"/>
          <w:szCs w:val="24"/>
          <w:highlight w:val="none"/>
        </w:rPr>
        <w:t>通讯地址：</w:t>
      </w:r>
      <w:r>
        <w:rPr>
          <w:rFonts w:hint="eastAsia" w:ascii="宋体" w:hAnsi="宋体"/>
          <w:bCs/>
          <w:color w:val="auto"/>
          <w:sz w:val="24"/>
          <w:szCs w:val="24"/>
          <w:highlight w:val="none"/>
          <w:u w:val="single"/>
        </w:rPr>
        <w:t xml:space="preserve">                                                        </w:t>
      </w:r>
    </w:p>
    <w:p w14:paraId="3EE27BF8">
      <w:pPr>
        <w:spacing w:line="400" w:lineRule="exact"/>
        <w:ind w:firstLine="480"/>
        <w:rPr>
          <w:rFonts w:ascii="宋体" w:hAnsi="宋体"/>
          <w:bCs/>
          <w:color w:val="auto"/>
          <w:sz w:val="24"/>
          <w:szCs w:val="24"/>
          <w:highlight w:val="none"/>
        </w:rPr>
      </w:pPr>
    </w:p>
    <w:p w14:paraId="523591F1">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供应商名称（盖章）：</w:t>
      </w:r>
    </w:p>
    <w:p w14:paraId="4A9204D9">
      <w:pPr>
        <w:spacing w:line="360" w:lineRule="auto"/>
        <w:rPr>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五、承诺书（给定格式）：</w:t>
      </w:r>
    </w:p>
    <w:p w14:paraId="5F7D5063">
      <w:pPr>
        <w:jc w:val="center"/>
        <w:rPr>
          <w:rFonts w:ascii="黑体" w:eastAsia="黑体"/>
          <w:bCs/>
          <w:color w:val="auto"/>
          <w:sz w:val="28"/>
          <w:szCs w:val="28"/>
          <w:highlight w:val="none"/>
        </w:rPr>
      </w:pPr>
      <w:r>
        <w:rPr>
          <w:rFonts w:hint="eastAsia" w:ascii="黑体" w:eastAsia="黑体"/>
          <w:bCs/>
          <w:color w:val="auto"/>
          <w:sz w:val="28"/>
          <w:szCs w:val="28"/>
          <w:highlight w:val="none"/>
        </w:rPr>
        <w:t>承诺书一</w:t>
      </w:r>
    </w:p>
    <w:p w14:paraId="6581CF03">
      <w:pPr>
        <w:jc w:val="center"/>
        <w:rPr>
          <w:rFonts w:ascii="黑体" w:eastAsia="黑体"/>
          <w:bCs/>
          <w:color w:val="auto"/>
          <w:sz w:val="28"/>
          <w:szCs w:val="28"/>
          <w:highlight w:val="none"/>
        </w:rPr>
      </w:pPr>
    </w:p>
    <w:p w14:paraId="3FEF9941">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供应商</w:t>
      </w:r>
      <w:r>
        <w:rPr>
          <w:rFonts w:hint="eastAsia" w:ascii="宋体" w:hAnsi="宋体"/>
          <w:color w:val="auto"/>
          <w:sz w:val="24"/>
          <w:szCs w:val="24"/>
          <w:highlight w:val="none"/>
        </w:rPr>
        <w:t>名称）在此承诺：</w:t>
      </w:r>
    </w:p>
    <w:p w14:paraId="65D7336B">
      <w:pPr>
        <w:spacing w:line="480" w:lineRule="auto"/>
        <w:ind w:firstLine="480" w:firstLineChars="200"/>
        <w:rPr>
          <w:rFonts w:ascii="宋体" w:hAnsi="宋体"/>
          <w:color w:val="auto"/>
          <w:sz w:val="24"/>
          <w:szCs w:val="24"/>
          <w:highlight w:val="none"/>
        </w:rPr>
      </w:pPr>
    </w:p>
    <w:p w14:paraId="0BDC83CA">
      <w:pPr>
        <w:spacing w:line="480" w:lineRule="auto"/>
        <w:ind w:firstLine="480" w:firstLineChars="200"/>
        <w:rPr>
          <w:rFonts w:ascii="宋体" w:hAnsi="宋体"/>
          <w:bCs/>
          <w:color w:val="auto"/>
          <w:sz w:val="24"/>
          <w:szCs w:val="24"/>
          <w:highlight w:val="none"/>
        </w:rPr>
      </w:pPr>
      <w:r>
        <w:rPr>
          <w:rFonts w:hint="eastAsia" w:ascii="宋体" w:hAnsi="宋体"/>
          <w:color w:val="auto"/>
          <w:sz w:val="24"/>
          <w:szCs w:val="24"/>
          <w:highlight w:val="none"/>
        </w:rPr>
        <w:t>1.本公司（单位）</w:t>
      </w:r>
      <w:r>
        <w:rPr>
          <w:rFonts w:hint="eastAsia" w:ascii="宋体" w:hAnsi="宋体"/>
          <w:bCs/>
          <w:color w:val="auto"/>
          <w:sz w:val="24"/>
          <w:szCs w:val="24"/>
          <w:highlight w:val="none"/>
        </w:rPr>
        <w:t>对本项目（编号：      ）所提供的服务符合征集文件要求；</w:t>
      </w:r>
    </w:p>
    <w:p w14:paraId="25B88FC9">
      <w:pPr>
        <w:spacing w:line="48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w:t>
      </w:r>
      <w:r>
        <w:rPr>
          <w:rFonts w:hint="eastAsia" w:ascii="宋体" w:hAnsi="宋体"/>
          <w:color w:val="auto"/>
          <w:sz w:val="24"/>
          <w:szCs w:val="24"/>
          <w:highlight w:val="none"/>
        </w:rPr>
        <w:t>本公司（单位）</w:t>
      </w:r>
      <w:r>
        <w:rPr>
          <w:rFonts w:hint="eastAsia" w:ascii="宋体" w:hAnsi="宋体"/>
          <w:bCs/>
          <w:color w:val="auto"/>
          <w:sz w:val="24"/>
          <w:szCs w:val="24"/>
          <w:highlight w:val="none"/>
        </w:rPr>
        <w:t>具备履行合同所必需的设备和专业技术能力；</w:t>
      </w:r>
    </w:p>
    <w:p w14:paraId="3470DCB9">
      <w:pPr>
        <w:spacing w:line="48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w:t>
      </w:r>
      <w:r>
        <w:rPr>
          <w:rFonts w:hint="eastAsia" w:ascii="宋体" w:hAnsi="宋体"/>
          <w:color w:val="auto"/>
          <w:sz w:val="24"/>
          <w:szCs w:val="24"/>
          <w:highlight w:val="none"/>
        </w:rPr>
        <w:t>本公司未被“</w:t>
      </w:r>
      <w:r>
        <w:rPr>
          <w:rFonts w:hint="eastAsia" w:ascii="宋体" w:hAnsi="宋体"/>
          <w:bCs/>
          <w:color w:val="auto"/>
          <w:sz w:val="24"/>
          <w:szCs w:val="24"/>
          <w:highlight w:val="none"/>
        </w:rPr>
        <w:t>信用中国</w:t>
      </w:r>
      <w:r>
        <w:rPr>
          <w:rFonts w:hint="eastAsia" w:ascii="宋体" w:hAnsi="宋体"/>
          <w:color w:val="auto"/>
          <w:sz w:val="24"/>
          <w:szCs w:val="24"/>
          <w:highlight w:val="none"/>
        </w:rPr>
        <w:t>”</w:t>
      </w:r>
      <w:r>
        <w:rPr>
          <w:rFonts w:hint="eastAsia" w:ascii="宋体" w:hAnsi="宋体"/>
          <w:bCs/>
          <w:color w:val="auto"/>
          <w:sz w:val="24"/>
          <w:szCs w:val="24"/>
          <w:highlight w:val="none"/>
        </w:rPr>
        <w:t>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Style w:val="55"/>
          <w:rFonts w:hint="eastAsia" w:ascii="宋体" w:hAnsi="宋体"/>
          <w:bCs/>
          <w:color w:val="auto"/>
          <w:sz w:val="24"/>
          <w:szCs w:val="24"/>
          <w:highlight w:val="none"/>
        </w:rPr>
        <w:t>www.creditchina.gov.cn</w:t>
      </w:r>
      <w:r>
        <w:rPr>
          <w:rStyle w:val="55"/>
          <w:rFonts w:hint="eastAsia" w:ascii="宋体" w:hAnsi="宋体"/>
          <w:bCs/>
          <w:color w:val="auto"/>
          <w:sz w:val="24"/>
          <w:szCs w:val="24"/>
          <w:highlight w:val="none"/>
        </w:rPr>
        <w:fldChar w:fldCharType="end"/>
      </w:r>
      <w:r>
        <w:rPr>
          <w:rFonts w:hint="eastAsia" w:ascii="宋体" w:hAnsi="宋体"/>
          <w:bCs/>
          <w:color w:val="auto"/>
          <w:sz w:val="24"/>
          <w:szCs w:val="24"/>
          <w:highlight w:val="none"/>
        </w:rPr>
        <w:t>）、</w:t>
      </w:r>
      <w:r>
        <w:rPr>
          <w:rFonts w:hint="eastAsia" w:ascii="宋体" w:hAnsi="宋体"/>
          <w:color w:val="auto"/>
          <w:sz w:val="24"/>
          <w:szCs w:val="24"/>
          <w:highlight w:val="none"/>
        </w:rPr>
        <w:t>中国政府采购网（www.ccgp.gov.cn）列入失信被执行人、重大税收违法案件当事人名单、政府采购严重违法失信行为记录名单。</w:t>
      </w:r>
    </w:p>
    <w:p w14:paraId="68D082B7">
      <w:pPr>
        <w:spacing w:line="48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22339AB2">
      <w:pPr>
        <w:spacing w:line="480" w:lineRule="auto"/>
        <w:rPr>
          <w:rFonts w:ascii="宋体" w:hAnsi="宋体"/>
          <w:color w:val="auto"/>
          <w:sz w:val="24"/>
          <w:szCs w:val="20"/>
          <w:highlight w:val="none"/>
        </w:rPr>
      </w:pPr>
    </w:p>
    <w:p w14:paraId="30C26DF0">
      <w:pPr>
        <w:spacing w:line="480" w:lineRule="auto"/>
        <w:ind w:firstLine="5400" w:firstLineChars="2250"/>
        <w:rPr>
          <w:rFonts w:ascii="宋体" w:hAnsi="宋体"/>
          <w:bCs/>
          <w:color w:val="auto"/>
          <w:sz w:val="24"/>
          <w:szCs w:val="24"/>
          <w:highlight w:val="none"/>
        </w:rPr>
      </w:pPr>
    </w:p>
    <w:p w14:paraId="2E0070C6">
      <w:pPr>
        <w:spacing w:line="360" w:lineRule="auto"/>
        <w:ind w:firstLine="3720" w:firstLineChars="1550"/>
        <w:rPr>
          <w:rFonts w:ascii="宋体" w:hAnsi="宋体"/>
          <w:bCs/>
          <w:color w:val="auto"/>
          <w:sz w:val="24"/>
          <w:szCs w:val="24"/>
          <w:highlight w:val="none"/>
        </w:rPr>
      </w:pPr>
      <w:r>
        <w:rPr>
          <w:rFonts w:hint="eastAsia" w:ascii="宋体" w:hAnsi="宋体"/>
          <w:bCs/>
          <w:color w:val="auto"/>
          <w:sz w:val="24"/>
          <w:szCs w:val="24"/>
          <w:highlight w:val="none"/>
        </w:rPr>
        <w:t>供应商（盖章）：</w:t>
      </w:r>
    </w:p>
    <w:p w14:paraId="61F31493">
      <w:pPr>
        <w:spacing w:line="360" w:lineRule="auto"/>
        <w:ind w:firstLine="482" w:firstLineChars="200"/>
        <w:outlineLvl w:val="0"/>
        <w:rPr>
          <w:rFonts w:ascii="宋体" w:hAnsi="宋体"/>
          <w:b/>
          <w:color w:val="auto"/>
          <w:sz w:val="24"/>
          <w:szCs w:val="24"/>
          <w:highlight w:val="none"/>
        </w:rPr>
      </w:pPr>
      <w:r>
        <w:rPr>
          <w:rFonts w:hint="eastAsia" w:ascii="宋体" w:hAnsi="宋体"/>
          <w:b/>
          <w:color w:val="auto"/>
          <w:sz w:val="24"/>
          <w:szCs w:val="24"/>
          <w:highlight w:val="none"/>
        </w:rPr>
        <w:t>法定代表人或法定代表人授权代表签字或盖章：</w:t>
      </w:r>
    </w:p>
    <w:p w14:paraId="45693188">
      <w:pPr>
        <w:spacing w:line="360" w:lineRule="auto"/>
        <w:ind w:firstLine="3840" w:firstLineChars="1600"/>
        <w:outlineLvl w:val="0"/>
        <w:rPr>
          <w:rFonts w:ascii="宋体"/>
          <w:bCs/>
          <w:color w:val="auto"/>
          <w:sz w:val="24"/>
          <w:szCs w:val="24"/>
          <w:highlight w:val="none"/>
        </w:rPr>
      </w:pPr>
      <w:r>
        <w:rPr>
          <w:rFonts w:hint="eastAsia" w:ascii="宋体"/>
          <w:bCs/>
          <w:color w:val="auto"/>
          <w:sz w:val="24"/>
          <w:szCs w:val="24"/>
          <w:highlight w:val="none"/>
        </w:rPr>
        <w:t>日期：</w:t>
      </w:r>
    </w:p>
    <w:p w14:paraId="6F9DF7FC">
      <w:pPr>
        <w:outlineLvl w:val="0"/>
        <w:rPr>
          <w:rFonts w:ascii="宋体" w:hAnsi="宋体"/>
          <w:bCs/>
          <w:color w:val="auto"/>
          <w:sz w:val="24"/>
          <w:szCs w:val="24"/>
          <w:highlight w:val="none"/>
        </w:rPr>
      </w:pPr>
    </w:p>
    <w:p w14:paraId="1A3F66A0">
      <w:pPr>
        <w:outlineLvl w:val="0"/>
        <w:rPr>
          <w:rFonts w:ascii="宋体" w:hAnsi="宋体"/>
          <w:bCs/>
          <w:color w:val="auto"/>
          <w:sz w:val="24"/>
          <w:szCs w:val="24"/>
          <w:highlight w:val="none"/>
        </w:rPr>
      </w:pPr>
    </w:p>
    <w:p w14:paraId="0D50C725">
      <w:pPr>
        <w:outlineLvl w:val="0"/>
        <w:rPr>
          <w:rFonts w:ascii="宋体" w:hAnsi="宋体"/>
          <w:bCs/>
          <w:color w:val="auto"/>
          <w:sz w:val="24"/>
          <w:szCs w:val="24"/>
          <w:highlight w:val="none"/>
        </w:rPr>
      </w:pPr>
    </w:p>
    <w:p w14:paraId="6EF480B3">
      <w:pPr>
        <w:outlineLvl w:val="0"/>
        <w:rPr>
          <w:rFonts w:ascii="宋体" w:hAnsi="宋体"/>
          <w:bCs/>
          <w:color w:val="auto"/>
          <w:sz w:val="24"/>
          <w:szCs w:val="24"/>
          <w:highlight w:val="none"/>
        </w:rPr>
      </w:pPr>
    </w:p>
    <w:p w14:paraId="34FA3DF3">
      <w:pPr>
        <w:outlineLvl w:val="0"/>
        <w:rPr>
          <w:rFonts w:ascii="宋体" w:hAnsi="宋体"/>
          <w:bCs/>
          <w:color w:val="auto"/>
          <w:sz w:val="24"/>
          <w:szCs w:val="24"/>
          <w:highlight w:val="none"/>
        </w:rPr>
      </w:pPr>
    </w:p>
    <w:p w14:paraId="7F2774E8">
      <w:pPr>
        <w:outlineLvl w:val="0"/>
        <w:rPr>
          <w:rFonts w:ascii="宋体" w:hAnsi="宋体"/>
          <w:bCs/>
          <w:color w:val="auto"/>
          <w:sz w:val="24"/>
          <w:szCs w:val="24"/>
          <w:highlight w:val="none"/>
        </w:rPr>
      </w:pPr>
    </w:p>
    <w:p w14:paraId="27BCDC1F">
      <w:pPr>
        <w:outlineLvl w:val="0"/>
        <w:rPr>
          <w:rFonts w:ascii="宋体" w:hAnsi="宋体"/>
          <w:bCs/>
          <w:color w:val="auto"/>
          <w:sz w:val="24"/>
          <w:szCs w:val="24"/>
          <w:highlight w:val="none"/>
        </w:rPr>
      </w:pPr>
    </w:p>
    <w:p w14:paraId="1355640F">
      <w:pPr>
        <w:outlineLvl w:val="0"/>
        <w:rPr>
          <w:rFonts w:ascii="宋体" w:hAnsi="宋体"/>
          <w:bCs/>
          <w:color w:val="auto"/>
          <w:sz w:val="24"/>
          <w:szCs w:val="24"/>
          <w:highlight w:val="none"/>
        </w:rPr>
      </w:pPr>
    </w:p>
    <w:p w14:paraId="4DEC6246">
      <w:pPr>
        <w:ind w:firstLine="480" w:firstLineChars="200"/>
        <w:outlineLvl w:val="0"/>
        <w:rPr>
          <w:rFonts w:ascii="黑体" w:hAnsi="宋体" w:eastAsia="黑体"/>
          <w:bCs/>
          <w:color w:val="auto"/>
          <w:sz w:val="24"/>
          <w:szCs w:val="24"/>
          <w:highlight w:val="none"/>
        </w:rPr>
      </w:pPr>
    </w:p>
    <w:p w14:paraId="0082F492">
      <w:pPr>
        <w:ind w:firstLine="480" w:firstLineChars="200"/>
        <w:outlineLvl w:val="0"/>
        <w:rPr>
          <w:rFonts w:ascii="黑体" w:hAnsi="宋体" w:eastAsia="黑体"/>
          <w:bCs/>
          <w:color w:val="auto"/>
          <w:sz w:val="24"/>
          <w:szCs w:val="24"/>
          <w:highlight w:val="none"/>
        </w:rPr>
      </w:pPr>
    </w:p>
    <w:p w14:paraId="3AED300C">
      <w:pPr>
        <w:ind w:firstLine="480" w:firstLineChars="200"/>
        <w:outlineLvl w:val="0"/>
        <w:rPr>
          <w:rFonts w:ascii="黑体" w:hAnsi="宋体" w:eastAsia="黑体"/>
          <w:bCs/>
          <w:color w:val="auto"/>
          <w:sz w:val="24"/>
          <w:szCs w:val="24"/>
          <w:highlight w:val="none"/>
        </w:rPr>
      </w:pPr>
    </w:p>
    <w:p w14:paraId="3859203E">
      <w:pPr>
        <w:ind w:firstLine="480" w:firstLineChars="200"/>
        <w:outlineLvl w:val="0"/>
        <w:rPr>
          <w:rFonts w:ascii="黑体" w:hAnsi="宋体" w:eastAsia="黑体"/>
          <w:bCs/>
          <w:color w:val="auto"/>
          <w:sz w:val="24"/>
          <w:szCs w:val="24"/>
          <w:highlight w:val="none"/>
        </w:rPr>
      </w:pPr>
    </w:p>
    <w:p w14:paraId="4E36AE55">
      <w:pPr>
        <w:ind w:firstLine="480" w:firstLineChars="200"/>
        <w:outlineLvl w:val="0"/>
        <w:rPr>
          <w:rFonts w:ascii="黑体" w:hAnsi="宋体" w:eastAsia="黑体"/>
          <w:bCs/>
          <w:color w:val="auto"/>
          <w:sz w:val="24"/>
          <w:szCs w:val="24"/>
          <w:highlight w:val="none"/>
        </w:rPr>
      </w:pPr>
    </w:p>
    <w:p w14:paraId="22CADB7B">
      <w:pPr>
        <w:ind w:firstLine="480" w:firstLineChars="200"/>
        <w:outlineLvl w:val="0"/>
        <w:rPr>
          <w:rFonts w:ascii="黑体" w:hAnsi="宋体" w:eastAsia="黑体"/>
          <w:bCs/>
          <w:color w:val="auto"/>
          <w:sz w:val="24"/>
          <w:szCs w:val="24"/>
          <w:highlight w:val="none"/>
        </w:rPr>
      </w:pPr>
    </w:p>
    <w:p w14:paraId="5B52C709">
      <w:pPr>
        <w:ind w:firstLine="480" w:firstLineChars="200"/>
        <w:outlineLvl w:val="0"/>
        <w:rPr>
          <w:rFonts w:ascii="黑体" w:hAnsi="宋体" w:eastAsia="黑体"/>
          <w:bCs/>
          <w:color w:val="auto"/>
          <w:sz w:val="24"/>
          <w:szCs w:val="24"/>
          <w:highlight w:val="none"/>
        </w:rPr>
      </w:pPr>
    </w:p>
    <w:p w14:paraId="11AA9DCE">
      <w:pPr>
        <w:ind w:firstLine="480" w:firstLineChars="200"/>
        <w:outlineLvl w:val="0"/>
        <w:rPr>
          <w:rFonts w:ascii="黑体" w:hAnsi="宋体" w:eastAsia="黑体"/>
          <w:bCs/>
          <w:color w:val="auto"/>
          <w:sz w:val="24"/>
          <w:szCs w:val="24"/>
          <w:highlight w:val="none"/>
        </w:rPr>
      </w:pPr>
    </w:p>
    <w:p w14:paraId="5974B323">
      <w:pPr>
        <w:ind w:firstLine="480" w:firstLineChars="200"/>
        <w:outlineLvl w:val="0"/>
        <w:rPr>
          <w:rFonts w:ascii="黑体" w:hAnsi="宋体" w:eastAsia="黑体"/>
          <w:bCs/>
          <w:color w:val="auto"/>
          <w:sz w:val="24"/>
          <w:szCs w:val="24"/>
          <w:highlight w:val="none"/>
        </w:rPr>
      </w:pPr>
    </w:p>
    <w:p w14:paraId="6D09349B">
      <w:pPr>
        <w:spacing w:line="480" w:lineRule="auto"/>
        <w:jc w:val="center"/>
        <w:rPr>
          <w:rFonts w:ascii="宋体" w:hAnsi="宋体"/>
          <w:color w:val="auto"/>
          <w:sz w:val="24"/>
          <w:szCs w:val="24"/>
          <w:highlight w:val="none"/>
          <w:u w:val="single"/>
        </w:rPr>
      </w:pPr>
      <w:r>
        <w:rPr>
          <w:rFonts w:hint="eastAsia"/>
          <w:b/>
          <w:color w:val="auto"/>
          <w:sz w:val="28"/>
          <w:szCs w:val="28"/>
          <w:highlight w:val="none"/>
        </w:rPr>
        <w:t>承诺书二</w:t>
      </w:r>
    </w:p>
    <w:p w14:paraId="153417EC">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r>
        <w:rPr>
          <w:rFonts w:hint="eastAsia" w:ascii="宋体" w:hAnsi="宋体"/>
          <w:color w:val="auto"/>
          <w:sz w:val="24"/>
          <w:highlight w:val="none"/>
        </w:rPr>
        <w:t>报价供应商</w:t>
      </w:r>
      <w:r>
        <w:rPr>
          <w:rFonts w:hint="eastAsia" w:ascii="宋体" w:hAnsi="宋体"/>
          <w:color w:val="auto"/>
          <w:sz w:val="24"/>
          <w:szCs w:val="24"/>
          <w:highlight w:val="none"/>
        </w:rPr>
        <w:t>名称）在此承诺：</w:t>
      </w:r>
    </w:p>
    <w:p w14:paraId="0A8664B9">
      <w:pPr>
        <w:spacing w:line="480" w:lineRule="auto"/>
        <w:ind w:firstLine="480" w:firstLineChars="200"/>
        <w:rPr>
          <w:rFonts w:ascii="宋体" w:hAnsi="宋体"/>
          <w:color w:val="auto"/>
          <w:sz w:val="24"/>
          <w:szCs w:val="24"/>
          <w:highlight w:val="none"/>
        </w:rPr>
      </w:pPr>
    </w:p>
    <w:p w14:paraId="60D2B238">
      <w:pPr>
        <w:spacing w:line="48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没有下列任一房屋结构改造行为。</w:t>
      </w:r>
    </w:p>
    <w:p w14:paraId="0E0C0436">
      <w:pPr>
        <w:spacing w:line="480" w:lineRule="auto"/>
        <w:ind w:firstLine="480" w:firstLineChars="200"/>
        <w:rPr>
          <w:rFonts w:ascii="宋体" w:hAnsi="宋体"/>
          <w:bCs/>
          <w:color w:val="auto"/>
          <w:sz w:val="24"/>
          <w:szCs w:val="24"/>
          <w:highlight w:val="none"/>
        </w:rPr>
      </w:pPr>
      <w:r>
        <w:rPr>
          <w:rFonts w:ascii="宋体" w:hAnsi="宋体"/>
          <w:bCs/>
          <w:color w:val="auto"/>
          <w:sz w:val="24"/>
          <w:szCs w:val="24"/>
          <w:highlight w:val="none"/>
        </w:rPr>
        <w:t xml:space="preserve"> </w:t>
      </w:r>
      <w:r>
        <w:rPr>
          <w:rFonts w:hint="eastAsia" w:ascii="宋体" w:hAnsi="宋体"/>
          <w:bCs/>
          <w:color w:val="auto"/>
          <w:sz w:val="24"/>
          <w:szCs w:val="24"/>
          <w:highlight w:val="none"/>
        </w:rPr>
        <w:t>（一）</w:t>
      </w:r>
      <w:r>
        <w:rPr>
          <w:rFonts w:ascii="宋体" w:hAnsi="宋体"/>
          <w:bCs/>
          <w:color w:val="auto"/>
          <w:sz w:val="24"/>
          <w:szCs w:val="24"/>
          <w:highlight w:val="none"/>
        </w:rPr>
        <w:t>拆除或者部分拆除房屋柱、梁、板、承重墙体的；</w:t>
      </w:r>
    </w:p>
    <w:p w14:paraId="7E0A3460">
      <w:pPr>
        <w:spacing w:line="48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（二）</w:t>
      </w:r>
      <w:r>
        <w:rPr>
          <w:rFonts w:ascii="宋体" w:hAnsi="宋体"/>
          <w:bCs/>
          <w:color w:val="auto"/>
          <w:sz w:val="24"/>
          <w:szCs w:val="24"/>
          <w:highlight w:val="none"/>
        </w:rPr>
        <w:t>在柱、梁、楼板上开设洞口或者扩大原有洞口尺寸的；</w:t>
      </w:r>
    </w:p>
    <w:p w14:paraId="68883FE2">
      <w:pPr>
        <w:spacing w:line="48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（三）</w:t>
      </w:r>
      <w:r>
        <w:rPr>
          <w:rFonts w:ascii="宋体" w:hAnsi="宋体"/>
          <w:bCs/>
          <w:color w:val="auto"/>
          <w:sz w:val="24"/>
          <w:szCs w:val="24"/>
          <w:highlight w:val="none"/>
        </w:rPr>
        <w:t>在承重墙体上增开、扩大门、窗、洞口或者变更位置的；</w:t>
      </w:r>
    </w:p>
    <w:p w14:paraId="4E07A86D">
      <w:pPr>
        <w:spacing w:line="48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（四）</w:t>
      </w:r>
      <w:r>
        <w:rPr>
          <w:rFonts w:ascii="宋体" w:hAnsi="宋体"/>
          <w:bCs/>
          <w:color w:val="auto"/>
          <w:sz w:val="24"/>
          <w:szCs w:val="24"/>
          <w:highlight w:val="none"/>
        </w:rPr>
        <w:t>增大荷载，超出房屋原设计承载力的；</w:t>
      </w:r>
    </w:p>
    <w:p w14:paraId="16D549F2">
      <w:pPr>
        <w:spacing w:line="48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（五）</w:t>
      </w:r>
      <w:r>
        <w:rPr>
          <w:rFonts w:ascii="宋体" w:hAnsi="宋体"/>
          <w:bCs/>
          <w:color w:val="auto"/>
          <w:sz w:val="24"/>
          <w:szCs w:val="24"/>
          <w:highlight w:val="none"/>
        </w:rPr>
        <w:t>在建成房屋挖建地下室或者降低房屋地坪标高的</w:t>
      </w:r>
      <w:r>
        <w:rPr>
          <w:rFonts w:hint="eastAsia" w:ascii="宋体" w:hAnsi="宋体"/>
          <w:bCs/>
          <w:color w:val="auto"/>
          <w:sz w:val="24"/>
          <w:szCs w:val="24"/>
          <w:highlight w:val="none"/>
        </w:rPr>
        <w:t>。</w:t>
      </w:r>
    </w:p>
    <w:p w14:paraId="0F82956B">
      <w:pPr>
        <w:spacing w:line="48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如违背上述承诺，本公司</w:t>
      </w:r>
      <w:r>
        <w:rPr>
          <w:rFonts w:hint="eastAsia" w:ascii="宋体" w:hAnsi="宋体"/>
          <w:color w:val="auto"/>
          <w:sz w:val="24"/>
          <w:szCs w:val="24"/>
          <w:highlight w:val="none"/>
        </w:rPr>
        <w:t>（单位）</w:t>
      </w:r>
      <w:r>
        <w:rPr>
          <w:rFonts w:hint="eastAsia" w:ascii="宋体" w:hAnsi="宋体"/>
          <w:bCs/>
          <w:color w:val="auto"/>
          <w:sz w:val="24"/>
          <w:szCs w:val="24"/>
          <w:highlight w:val="none"/>
        </w:rPr>
        <w:t>将承担一切法律责任。</w:t>
      </w:r>
    </w:p>
    <w:p w14:paraId="1FAAEECF">
      <w:pPr>
        <w:spacing w:line="480" w:lineRule="auto"/>
        <w:rPr>
          <w:rFonts w:ascii="宋体" w:hAnsi="宋体"/>
          <w:color w:val="auto"/>
          <w:sz w:val="24"/>
          <w:highlight w:val="none"/>
        </w:rPr>
      </w:pPr>
    </w:p>
    <w:p w14:paraId="7B9832DE">
      <w:pPr>
        <w:spacing w:line="480" w:lineRule="auto"/>
        <w:ind w:firstLine="5400" w:firstLineChars="2250"/>
        <w:rPr>
          <w:rFonts w:ascii="宋体" w:hAnsi="宋体"/>
          <w:bCs/>
          <w:color w:val="auto"/>
          <w:sz w:val="24"/>
          <w:szCs w:val="24"/>
          <w:highlight w:val="none"/>
        </w:rPr>
      </w:pPr>
    </w:p>
    <w:p w14:paraId="18E46D48">
      <w:pPr>
        <w:spacing w:line="360" w:lineRule="auto"/>
        <w:ind w:firstLine="3720" w:firstLineChars="1550"/>
        <w:rPr>
          <w:rFonts w:ascii="宋体" w:hAnsi="宋体"/>
          <w:bCs/>
          <w:color w:val="auto"/>
          <w:sz w:val="24"/>
          <w:szCs w:val="24"/>
          <w:highlight w:val="none"/>
        </w:rPr>
      </w:pPr>
      <w:r>
        <w:rPr>
          <w:rFonts w:hint="eastAsia" w:ascii="宋体" w:hAnsi="宋体"/>
          <w:bCs/>
          <w:color w:val="auto"/>
          <w:sz w:val="24"/>
          <w:szCs w:val="24"/>
          <w:highlight w:val="none"/>
        </w:rPr>
        <w:t>供应商（盖章）：</w:t>
      </w:r>
    </w:p>
    <w:p w14:paraId="0E411596">
      <w:pPr>
        <w:spacing w:line="360" w:lineRule="auto"/>
        <w:ind w:firstLine="482" w:firstLineChars="200"/>
        <w:outlineLvl w:val="0"/>
        <w:rPr>
          <w:rFonts w:ascii="宋体" w:hAnsi="宋体"/>
          <w:b/>
          <w:color w:val="auto"/>
          <w:sz w:val="24"/>
          <w:szCs w:val="24"/>
          <w:highlight w:val="none"/>
        </w:rPr>
      </w:pPr>
      <w:r>
        <w:rPr>
          <w:rFonts w:hint="eastAsia" w:ascii="宋体" w:hAnsi="宋体"/>
          <w:b/>
          <w:color w:val="auto"/>
          <w:sz w:val="24"/>
          <w:szCs w:val="24"/>
          <w:highlight w:val="none"/>
        </w:rPr>
        <w:t>法定代表人或法定代表人授权代表签字或盖章：</w:t>
      </w:r>
    </w:p>
    <w:p w14:paraId="71E5D855">
      <w:pPr>
        <w:spacing w:line="360" w:lineRule="auto"/>
        <w:ind w:firstLine="3840" w:firstLineChars="1600"/>
        <w:outlineLvl w:val="0"/>
        <w:rPr>
          <w:rFonts w:ascii="宋体"/>
          <w:bCs/>
          <w:color w:val="auto"/>
          <w:sz w:val="24"/>
          <w:szCs w:val="24"/>
          <w:highlight w:val="none"/>
        </w:rPr>
      </w:pPr>
      <w:r>
        <w:rPr>
          <w:rFonts w:hint="eastAsia" w:ascii="宋体"/>
          <w:bCs/>
          <w:color w:val="auto"/>
          <w:sz w:val="24"/>
          <w:szCs w:val="24"/>
          <w:highlight w:val="none"/>
        </w:rPr>
        <w:t>日期：</w:t>
      </w:r>
    </w:p>
    <w:p w14:paraId="19A9219A">
      <w:pPr>
        <w:ind w:firstLine="480" w:firstLineChars="200"/>
        <w:outlineLvl w:val="0"/>
        <w:rPr>
          <w:rFonts w:ascii="黑体" w:hAnsi="宋体" w:eastAsia="黑体"/>
          <w:bCs/>
          <w:color w:val="auto"/>
          <w:sz w:val="24"/>
          <w:szCs w:val="24"/>
          <w:highlight w:val="none"/>
        </w:rPr>
      </w:pPr>
    </w:p>
    <w:p w14:paraId="150F8A25">
      <w:pPr>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六、报价一览表（给定格式）：</w:t>
      </w:r>
    </w:p>
    <w:p w14:paraId="1292FFE7">
      <w:pPr>
        <w:spacing w:line="440" w:lineRule="exact"/>
        <w:ind w:firstLine="482"/>
        <w:jc w:val="center"/>
        <w:rPr>
          <w:rFonts w:ascii="Arial" w:hAnsi="Arial"/>
          <w:b/>
          <w:color w:val="auto"/>
          <w:sz w:val="24"/>
          <w:highlight w:val="none"/>
        </w:rPr>
      </w:pPr>
    </w:p>
    <w:p w14:paraId="24354448">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报价一览表（采购包一）</w:t>
      </w:r>
    </w:p>
    <w:p w14:paraId="3310E881">
      <w:pPr>
        <w:jc w:val="center"/>
        <w:outlineLvl w:val="0"/>
        <w:rPr>
          <w:rFonts w:ascii="黑体" w:eastAsia="黑体"/>
          <w:bCs/>
          <w:color w:val="auto"/>
          <w:sz w:val="28"/>
          <w:szCs w:val="28"/>
          <w:highlight w:val="none"/>
        </w:rPr>
      </w:pPr>
    </w:p>
    <w:p w14:paraId="7FC81587">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项目名称：2026-2027年度滨湖区残疾儿童基本康复训练服务定点机构项目框架协议采购</w:t>
      </w:r>
    </w:p>
    <w:p w14:paraId="3E40BBCF">
      <w:pPr>
        <w:spacing w:line="360" w:lineRule="auto"/>
        <w:rPr>
          <w:rFonts w:ascii="黑体" w:eastAsia="黑体"/>
          <w:bCs/>
          <w:color w:val="auto"/>
          <w:sz w:val="24"/>
          <w:highlight w:val="none"/>
        </w:rPr>
      </w:pPr>
      <w:r>
        <w:rPr>
          <w:rFonts w:hint="eastAsia" w:ascii="黑体" w:eastAsia="黑体"/>
          <w:bCs/>
          <w:color w:val="auto"/>
          <w:sz w:val="24"/>
          <w:highlight w:val="none"/>
        </w:rPr>
        <w:t>供应商名称（盖章）                采购编号：</w:t>
      </w:r>
      <w:r>
        <w:rPr>
          <w:rFonts w:hint="eastAsia" w:ascii="宋体" w:hAnsi="宋体"/>
          <w:bCs/>
          <w:color w:val="auto"/>
          <w:sz w:val="24"/>
          <w:szCs w:val="24"/>
          <w:highlight w:val="none"/>
        </w:rPr>
        <w:t xml:space="preserve"> </w:t>
      </w:r>
      <w:r>
        <w:rPr>
          <w:rFonts w:hint="eastAsia" w:ascii="黑体" w:eastAsia="黑体"/>
          <w:bCs/>
          <w:color w:val="auto"/>
          <w:sz w:val="24"/>
          <w:highlight w:val="none"/>
        </w:rPr>
        <w:t xml:space="preserve">  </w:t>
      </w:r>
    </w:p>
    <w:tbl>
      <w:tblPr>
        <w:tblStyle w:val="48"/>
        <w:tblW w:w="893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9"/>
        <w:gridCol w:w="4734"/>
      </w:tblGrid>
      <w:tr w14:paraId="54135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4" w:hRule="atLeast"/>
        </w:trPr>
        <w:tc>
          <w:tcPr>
            <w:tcW w:w="4199" w:type="dxa"/>
            <w:vAlign w:val="center"/>
          </w:tcPr>
          <w:p w14:paraId="7C338629">
            <w:pPr>
              <w:ind w:firstLine="1440" w:firstLineChars="600"/>
              <w:jc w:val="left"/>
              <w:rPr>
                <w:rFonts w:ascii="宋体"/>
                <w:color w:val="auto"/>
                <w:sz w:val="28"/>
                <w:szCs w:val="28"/>
                <w:highlight w:val="none"/>
              </w:rPr>
            </w:pPr>
            <w:r>
              <w:rPr>
                <w:rFonts w:hint="eastAsia" w:ascii="宋体" w:hAnsi="宋体"/>
                <w:bCs/>
                <w:color w:val="auto"/>
                <w:sz w:val="24"/>
                <w:szCs w:val="20"/>
                <w:highlight w:val="none"/>
              </w:rPr>
              <w:t>优惠率</w:t>
            </w:r>
          </w:p>
        </w:tc>
        <w:tc>
          <w:tcPr>
            <w:tcW w:w="4734" w:type="dxa"/>
            <w:vAlign w:val="center"/>
          </w:tcPr>
          <w:p w14:paraId="53B2E80A">
            <w:pPr>
              <w:rPr>
                <w:rFonts w:ascii="宋体"/>
                <w:color w:val="auto"/>
                <w:sz w:val="24"/>
                <w:szCs w:val="20"/>
                <w:highlight w:val="none"/>
              </w:rPr>
            </w:pPr>
            <w:r>
              <w:rPr>
                <w:rFonts w:hint="eastAsia" w:ascii="宋体" w:hAnsi="宋体"/>
                <w:color w:val="auto"/>
                <w:sz w:val="24"/>
                <w:szCs w:val="20"/>
                <w:highlight w:val="none"/>
              </w:rPr>
              <w:t>小写：</w:t>
            </w:r>
            <w:r>
              <w:rPr>
                <w:rFonts w:hint="eastAsia" w:ascii="宋体" w:hAnsi="宋体"/>
                <w:color w:val="auto"/>
                <w:sz w:val="24"/>
                <w:szCs w:val="20"/>
                <w:highlight w:val="none"/>
                <w:u w:val="single"/>
              </w:rPr>
              <w:t>0%</w:t>
            </w:r>
          </w:p>
        </w:tc>
      </w:tr>
    </w:tbl>
    <w:p w14:paraId="6F2126C8">
      <w:p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注：</w:t>
      </w:r>
    </w:p>
    <w:p w14:paraId="53773176">
      <w:pPr>
        <w:numPr>
          <w:ilvl w:val="0"/>
          <w:numId w:val="10"/>
        </w:numPr>
        <w:spacing w:line="360" w:lineRule="auto"/>
        <w:rPr>
          <w:rFonts w:ascii="黑体" w:hAnsi="黑体" w:eastAsia="黑体" w:cs="黑体"/>
          <w:color w:val="auto"/>
          <w:sz w:val="24"/>
          <w:highlight w:val="none"/>
        </w:rPr>
      </w:pPr>
      <w:r>
        <w:rPr>
          <w:rFonts w:ascii="黑体" w:hAnsi="黑体" w:eastAsia="黑体" w:cs="黑体"/>
          <w:color w:val="auto"/>
          <w:sz w:val="24"/>
          <w:highlight w:val="none"/>
        </w:rPr>
        <w:t>因“苏采云”系统自带“报价一览表”模块，供应商须按“苏采云”系统中给定的模块格式，完整、正确地进行填报（具体位置为“基本目录”——“报价一览表”），此处可不用再重复填报。供应商的“报价一览表”及表中所填的报价均将以供应商在“苏采云”系统自带的模块格式中填报的为准。</w:t>
      </w:r>
    </w:p>
    <w:p w14:paraId="2D048C9A">
      <w:pPr>
        <w:numPr>
          <w:ilvl w:val="0"/>
          <w:numId w:val="10"/>
        </w:num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p>
    <w:p w14:paraId="38D2CDC8">
      <w:pPr>
        <w:numPr>
          <w:ilvl w:val="0"/>
          <w:numId w:val="10"/>
        </w:num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按照中华人民共和国财政部令第110号《政府采购框架协议采购方式管理暂行办法》，本项目实际采用通过审核合格（通过资格审查和符合性审查）即入围的方法，即满足审核条件和内容的供应商作为入围供应商的评审方法。</w:t>
      </w:r>
    </w:p>
    <w:p w14:paraId="5CD029BC">
      <w:pPr>
        <w:numPr>
          <w:ilvl w:val="0"/>
          <w:numId w:val="10"/>
        </w:num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各供应商优惠率均报0%即可。</w:t>
      </w:r>
    </w:p>
    <w:p w14:paraId="63F4CAEF">
      <w:pPr>
        <w:jc w:val="center"/>
        <w:outlineLvl w:val="0"/>
        <w:rPr>
          <w:rFonts w:ascii="黑体" w:eastAsia="黑体"/>
          <w:bCs/>
          <w:color w:val="auto"/>
          <w:sz w:val="28"/>
          <w:szCs w:val="28"/>
          <w:highlight w:val="none"/>
        </w:rPr>
      </w:pPr>
      <w:r>
        <w:rPr>
          <w:b/>
          <w:bCs/>
          <w:color w:val="auto"/>
          <w:highlight w:val="none"/>
        </w:rPr>
        <w:br w:type="page" w:clear="all"/>
      </w:r>
      <w:r>
        <w:rPr>
          <w:rFonts w:hint="eastAsia" w:ascii="黑体" w:eastAsia="黑体"/>
          <w:bCs/>
          <w:color w:val="auto"/>
          <w:sz w:val="28"/>
          <w:szCs w:val="28"/>
          <w:highlight w:val="none"/>
        </w:rPr>
        <w:t>报价一览表（采购包二）</w:t>
      </w:r>
    </w:p>
    <w:p w14:paraId="79F56035">
      <w:pPr>
        <w:jc w:val="center"/>
        <w:outlineLvl w:val="0"/>
        <w:rPr>
          <w:rFonts w:ascii="黑体" w:eastAsia="黑体"/>
          <w:bCs/>
          <w:color w:val="auto"/>
          <w:sz w:val="28"/>
          <w:szCs w:val="28"/>
          <w:highlight w:val="none"/>
        </w:rPr>
      </w:pPr>
    </w:p>
    <w:p w14:paraId="07CFDD1D">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项目名称：2026-2027年度滨湖区残疾儿童基本康复训练服务定点机构项目框架协议采购</w:t>
      </w:r>
    </w:p>
    <w:p w14:paraId="1DE170ED">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采购编号：    </w:t>
      </w:r>
    </w:p>
    <w:tbl>
      <w:tblPr>
        <w:tblStyle w:val="48"/>
        <w:tblW w:w="893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9"/>
        <w:gridCol w:w="4734"/>
      </w:tblGrid>
      <w:tr w14:paraId="7760FC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4" w:hRule="atLeast"/>
        </w:trPr>
        <w:tc>
          <w:tcPr>
            <w:tcW w:w="4199" w:type="dxa"/>
            <w:vAlign w:val="center"/>
          </w:tcPr>
          <w:p w14:paraId="43136194">
            <w:pPr>
              <w:ind w:firstLine="1440" w:firstLineChars="600"/>
              <w:jc w:val="left"/>
              <w:rPr>
                <w:rFonts w:ascii="宋体"/>
                <w:color w:val="auto"/>
                <w:sz w:val="28"/>
                <w:szCs w:val="28"/>
                <w:highlight w:val="none"/>
              </w:rPr>
            </w:pPr>
            <w:r>
              <w:rPr>
                <w:rFonts w:hint="eastAsia" w:ascii="宋体" w:hAnsi="宋体"/>
                <w:bCs/>
                <w:color w:val="auto"/>
                <w:sz w:val="24"/>
                <w:szCs w:val="20"/>
                <w:highlight w:val="none"/>
              </w:rPr>
              <w:t>优惠率</w:t>
            </w:r>
          </w:p>
        </w:tc>
        <w:tc>
          <w:tcPr>
            <w:tcW w:w="4734" w:type="dxa"/>
            <w:vAlign w:val="center"/>
          </w:tcPr>
          <w:p w14:paraId="52FA28F8">
            <w:pPr>
              <w:rPr>
                <w:rFonts w:ascii="宋体"/>
                <w:color w:val="auto"/>
                <w:sz w:val="24"/>
                <w:szCs w:val="20"/>
                <w:highlight w:val="none"/>
              </w:rPr>
            </w:pPr>
            <w:r>
              <w:rPr>
                <w:rFonts w:hint="eastAsia" w:ascii="宋体" w:hAnsi="宋体"/>
                <w:color w:val="auto"/>
                <w:sz w:val="24"/>
                <w:szCs w:val="20"/>
                <w:highlight w:val="none"/>
              </w:rPr>
              <w:t>小写：</w:t>
            </w:r>
            <w:r>
              <w:rPr>
                <w:rFonts w:hint="eastAsia" w:ascii="宋体" w:hAnsi="宋体"/>
                <w:color w:val="auto"/>
                <w:sz w:val="24"/>
                <w:szCs w:val="20"/>
                <w:highlight w:val="none"/>
                <w:u w:val="single"/>
              </w:rPr>
              <w:t>0%</w:t>
            </w:r>
          </w:p>
        </w:tc>
      </w:tr>
    </w:tbl>
    <w:p w14:paraId="0EA29B98">
      <w:p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注：</w:t>
      </w:r>
    </w:p>
    <w:p w14:paraId="01778F3C">
      <w:pPr>
        <w:numPr>
          <w:ilvl w:val="0"/>
          <w:numId w:val="11"/>
        </w:numPr>
        <w:spacing w:line="360" w:lineRule="auto"/>
        <w:rPr>
          <w:rFonts w:ascii="黑体" w:hAnsi="黑体" w:eastAsia="黑体" w:cs="黑体"/>
          <w:color w:val="auto"/>
          <w:sz w:val="24"/>
          <w:highlight w:val="none"/>
        </w:rPr>
      </w:pPr>
      <w:r>
        <w:rPr>
          <w:rFonts w:ascii="黑体" w:hAnsi="黑体" w:eastAsia="黑体" w:cs="黑体"/>
          <w:color w:val="auto"/>
          <w:sz w:val="24"/>
          <w:highlight w:val="none"/>
        </w:rPr>
        <w:t>因“苏采云”系统自带“报价一览表”模块，供应商须按“苏采云”系统中给定的模块格式，完整、正确地进行填报（具体位置为“基本目录”——“报价一览表”），此处可不用再重复填报。供应商的“报价一览表”及表中所填的报价均将以供应商在“苏采云”系统自带的模块格式中填报的为准。</w:t>
      </w:r>
    </w:p>
    <w:p w14:paraId="6D4EBC94">
      <w:pPr>
        <w:numPr>
          <w:ilvl w:val="0"/>
          <w:numId w:val="11"/>
        </w:num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p>
    <w:p w14:paraId="2B4BC47E">
      <w:pPr>
        <w:numPr>
          <w:ilvl w:val="0"/>
          <w:numId w:val="11"/>
        </w:num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按照中华人民共和国财政部令第110号《政府采购框架协议采购方式管理暂行办法》，本项目实际采用通过审核合格（通过资格审查和符合性审查）即入围的方法，即满足审核条件和内容的供应商作为入围供应商的评审方法。</w:t>
      </w:r>
    </w:p>
    <w:p w14:paraId="3D4D91D2">
      <w:pPr>
        <w:numPr>
          <w:ilvl w:val="0"/>
          <w:numId w:val="11"/>
        </w:num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各供应商优惠率均报0%即可。</w:t>
      </w:r>
    </w:p>
    <w:p w14:paraId="214CA332">
      <w:pPr>
        <w:spacing w:line="360" w:lineRule="auto"/>
        <w:ind w:firstLine="422"/>
        <w:rPr>
          <w:b/>
          <w:bCs/>
          <w:color w:val="auto"/>
          <w:highlight w:val="none"/>
        </w:rPr>
      </w:pPr>
    </w:p>
    <w:bookmarkEnd w:id="276"/>
    <w:bookmarkEnd w:id="277"/>
    <w:bookmarkEnd w:id="278"/>
    <w:p w14:paraId="18118308">
      <w:pPr>
        <w:spacing w:line="360" w:lineRule="auto"/>
        <w:rPr>
          <w:rFonts w:ascii="宋体" w:hAnsi="宋体"/>
          <w:bCs/>
          <w:color w:val="auto"/>
          <w:highlight w:val="none"/>
        </w:rPr>
      </w:pPr>
      <w:bookmarkStart w:id="282" w:name="_Toc120614284"/>
    </w:p>
    <w:p w14:paraId="41AEF78F">
      <w:pPr>
        <w:spacing w:line="360" w:lineRule="auto"/>
        <w:rPr>
          <w:rFonts w:ascii="宋体" w:hAnsi="宋体"/>
          <w:bCs/>
          <w:color w:val="auto"/>
          <w:highlight w:val="none"/>
        </w:rPr>
      </w:pPr>
    </w:p>
    <w:p w14:paraId="57F30C98">
      <w:pPr>
        <w:spacing w:line="360" w:lineRule="auto"/>
        <w:rPr>
          <w:rFonts w:ascii="宋体" w:hAnsi="宋体"/>
          <w:bCs/>
          <w:color w:val="auto"/>
          <w:highlight w:val="none"/>
        </w:rPr>
      </w:pPr>
    </w:p>
    <w:p w14:paraId="6D248EF6">
      <w:pPr>
        <w:spacing w:line="360" w:lineRule="auto"/>
        <w:rPr>
          <w:rFonts w:ascii="宋体" w:hAnsi="宋体"/>
          <w:bCs/>
          <w:color w:val="auto"/>
          <w:highlight w:val="none"/>
        </w:rPr>
      </w:pPr>
    </w:p>
    <w:p w14:paraId="34EB45CE">
      <w:pPr>
        <w:spacing w:line="360" w:lineRule="auto"/>
        <w:rPr>
          <w:rFonts w:ascii="宋体" w:hAnsi="宋体"/>
          <w:bCs/>
          <w:color w:val="auto"/>
          <w:highlight w:val="none"/>
        </w:rPr>
      </w:pPr>
    </w:p>
    <w:p w14:paraId="10FC2601">
      <w:pPr>
        <w:spacing w:line="360" w:lineRule="auto"/>
        <w:rPr>
          <w:rFonts w:ascii="宋体" w:hAnsi="宋体"/>
          <w:bCs/>
          <w:color w:val="auto"/>
          <w:highlight w:val="none"/>
        </w:rPr>
      </w:pPr>
    </w:p>
    <w:p w14:paraId="3CF547D4">
      <w:pPr>
        <w:spacing w:line="360" w:lineRule="auto"/>
        <w:rPr>
          <w:rFonts w:ascii="宋体" w:hAnsi="宋体"/>
          <w:bCs/>
          <w:color w:val="auto"/>
          <w:highlight w:val="none"/>
        </w:rPr>
      </w:pPr>
    </w:p>
    <w:p w14:paraId="580BCF7D">
      <w:pPr>
        <w:spacing w:line="360" w:lineRule="auto"/>
        <w:rPr>
          <w:rFonts w:ascii="宋体" w:hAnsi="宋体"/>
          <w:bCs/>
          <w:color w:val="auto"/>
          <w:highlight w:val="none"/>
        </w:rPr>
      </w:pPr>
    </w:p>
    <w:p w14:paraId="6F6C8FF4">
      <w:pPr>
        <w:spacing w:line="360" w:lineRule="auto"/>
        <w:rPr>
          <w:rFonts w:ascii="宋体" w:hAnsi="宋体"/>
          <w:bCs/>
          <w:color w:val="auto"/>
          <w:highlight w:val="none"/>
        </w:rPr>
      </w:pPr>
    </w:p>
    <w:p w14:paraId="5073D781">
      <w:pPr>
        <w:jc w:val="center"/>
        <w:outlineLvl w:val="0"/>
        <w:rPr>
          <w:rFonts w:ascii="黑体" w:eastAsia="黑体"/>
          <w:bCs/>
          <w:color w:val="auto"/>
          <w:sz w:val="28"/>
          <w:szCs w:val="28"/>
          <w:highlight w:val="none"/>
        </w:rPr>
      </w:pPr>
      <w:bookmarkStart w:id="283" w:name="OLE_LINK133"/>
      <w:bookmarkStart w:id="284" w:name="OLE_LINK134"/>
      <w:r>
        <w:rPr>
          <w:rFonts w:hint="eastAsia" w:ascii="黑体" w:eastAsia="黑体"/>
          <w:bCs/>
          <w:color w:val="auto"/>
          <w:sz w:val="28"/>
          <w:szCs w:val="28"/>
          <w:highlight w:val="none"/>
        </w:rPr>
        <w:t>报价一览表（采购包三）</w:t>
      </w:r>
    </w:p>
    <w:p w14:paraId="649DE8F9">
      <w:pPr>
        <w:jc w:val="center"/>
        <w:outlineLvl w:val="0"/>
        <w:rPr>
          <w:rFonts w:ascii="黑体" w:eastAsia="黑体"/>
          <w:bCs/>
          <w:color w:val="auto"/>
          <w:sz w:val="28"/>
          <w:szCs w:val="28"/>
          <w:highlight w:val="none"/>
        </w:rPr>
      </w:pPr>
    </w:p>
    <w:p w14:paraId="10B0F712">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项目名称：2026-2027年度滨湖区残疾儿童基本康复训练服务定点机构项目框架协议采购</w:t>
      </w:r>
    </w:p>
    <w:p w14:paraId="5C8E3674">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采购编号：    </w:t>
      </w:r>
    </w:p>
    <w:tbl>
      <w:tblPr>
        <w:tblStyle w:val="48"/>
        <w:tblW w:w="893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9"/>
        <w:gridCol w:w="4734"/>
      </w:tblGrid>
      <w:tr w14:paraId="619788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4" w:hRule="atLeast"/>
        </w:trPr>
        <w:tc>
          <w:tcPr>
            <w:tcW w:w="4199" w:type="dxa"/>
            <w:vAlign w:val="center"/>
          </w:tcPr>
          <w:p w14:paraId="5E15920A">
            <w:pPr>
              <w:ind w:firstLine="1440" w:firstLineChars="600"/>
              <w:jc w:val="left"/>
              <w:rPr>
                <w:rFonts w:ascii="宋体"/>
                <w:color w:val="auto"/>
                <w:sz w:val="28"/>
                <w:szCs w:val="28"/>
                <w:highlight w:val="none"/>
              </w:rPr>
            </w:pPr>
            <w:r>
              <w:rPr>
                <w:rFonts w:hint="eastAsia" w:ascii="宋体" w:hAnsi="宋体"/>
                <w:bCs/>
                <w:color w:val="auto"/>
                <w:sz w:val="24"/>
                <w:szCs w:val="20"/>
                <w:highlight w:val="none"/>
              </w:rPr>
              <w:t>优惠率</w:t>
            </w:r>
          </w:p>
        </w:tc>
        <w:tc>
          <w:tcPr>
            <w:tcW w:w="4734" w:type="dxa"/>
            <w:vAlign w:val="center"/>
          </w:tcPr>
          <w:p w14:paraId="6F37CDA1">
            <w:pPr>
              <w:rPr>
                <w:rFonts w:ascii="宋体"/>
                <w:color w:val="auto"/>
                <w:sz w:val="24"/>
                <w:szCs w:val="20"/>
                <w:highlight w:val="none"/>
              </w:rPr>
            </w:pPr>
            <w:r>
              <w:rPr>
                <w:rFonts w:hint="eastAsia" w:ascii="宋体" w:hAnsi="宋体"/>
                <w:color w:val="auto"/>
                <w:sz w:val="24"/>
                <w:szCs w:val="20"/>
                <w:highlight w:val="none"/>
              </w:rPr>
              <w:t>小写：</w:t>
            </w:r>
            <w:r>
              <w:rPr>
                <w:rFonts w:hint="eastAsia" w:ascii="宋体" w:hAnsi="宋体"/>
                <w:color w:val="auto"/>
                <w:sz w:val="24"/>
                <w:szCs w:val="20"/>
                <w:highlight w:val="none"/>
                <w:u w:val="single"/>
              </w:rPr>
              <w:t>0%</w:t>
            </w:r>
          </w:p>
        </w:tc>
      </w:tr>
    </w:tbl>
    <w:p w14:paraId="66AE7E11">
      <w:p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注：</w:t>
      </w:r>
    </w:p>
    <w:p w14:paraId="6A35CA4E">
      <w:pPr>
        <w:numPr>
          <w:ilvl w:val="0"/>
          <w:numId w:val="12"/>
        </w:numPr>
        <w:spacing w:line="360" w:lineRule="auto"/>
        <w:rPr>
          <w:rFonts w:ascii="黑体" w:hAnsi="黑体" w:eastAsia="黑体" w:cs="黑体"/>
          <w:color w:val="auto"/>
          <w:sz w:val="24"/>
          <w:highlight w:val="none"/>
        </w:rPr>
      </w:pPr>
      <w:r>
        <w:rPr>
          <w:rFonts w:ascii="黑体" w:hAnsi="黑体" w:eastAsia="黑体" w:cs="黑体"/>
          <w:color w:val="auto"/>
          <w:sz w:val="24"/>
          <w:highlight w:val="none"/>
        </w:rPr>
        <w:t>因“苏采云”系统自带“报价一览表”模块，供应商须按“苏采云”系统中给定的模块格式，完整、正确地进行填报（具体位置为“基本目录”——“报价一览表”），此处可不用再重复填报。供应商的“报价一览表”及表中所填的报价均将以供应商在“苏采云”系统自带的模块格式中填报的为准。</w:t>
      </w:r>
    </w:p>
    <w:p w14:paraId="67A55055">
      <w:pPr>
        <w:numPr>
          <w:ilvl w:val="0"/>
          <w:numId w:val="12"/>
        </w:num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p>
    <w:p w14:paraId="7BFA8811">
      <w:pPr>
        <w:numPr>
          <w:ilvl w:val="0"/>
          <w:numId w:val="12"/>
        </w:num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按照中华人民共和国财政部令第110号《政府采购框架协议采购方式管理暂行办法》，本项目实际采用通过审核合格（通过资格审查和符合性审查）即入围的方法，即满足审核条件和内容的供应商作为入围供应商的评审方法。</w:t>
      </w:r>
    </w:p>
    <w:p w14:paraId="63145549">
      <w:pPr>
        <w:numPr>
          <w:ilvl w:val="0"/>
          <w:numId w:val="12"/>
        </w:num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各供应商优惠率均报0%即可。</w:t>
      </w:r>
    </w:p>
    <w:bookmarkEnd w:id="283"/>
    <w:bookmarkEnd w:id="284"/>
    <w:p w14:paraId="0897890B">
      <w:pPr>
        <w:spacing w:line="360" w:lineRule="auto"/>
        <w:rPr>
          <w:rFonts w:ascii="宋体" w:hAnsi="宋体"/>
          <w:bCs/>
          <w:color w:val="auto"/>
          <w:highlight w:val="none"/>
        </w:rPr>
      </w:pPr>
    </w:p>
    <w:p w14:paraId="248667A9">
      <w:pPr>
        <w:spacing w:line="360" w:lineRule="auto"/>
        <w:rPr>
          <w:rFonts w:ascii="宋体" w:hAnsi="宋体"/>
          <w:bCs/>
          <w:color w:val="auto"/>
          <w:highlight w:val="none"/>
        </w:rPr>
      </w:pPr>
    </w:p>
    <w:p w14:paraId="0C2F08AE">
      <w:pPr>
        <w:spacing w:line="360" w:lineRule="auto"/>
        <w:rPr>
          <w:rFonts w:ascii="宋体" w:hAnsi="宋体"/>
          <w:bCs/>
          <w:color w:val="auto"/>
          <w:highlight w:val="none"/>
        </w:rPr>
      </w:pPr>
    </w:p>
    <w:p w14:paraId="677B1534">
      <w:pPr>
        <w:spacing w:line="360" w:lineRule="auto"/>
        <w:rPr>
          <w:rFonts w:ascii="宋体" w:hAnsi="宋体"/>
          <w:bCs/>
          <w:color w:val="auto"/>
          <w:highlight w:val="none"/>
        </w:rPr>
      </w:pPr>
    </w:p>
    <w:p w14:paraId="41248B51">
      <w:pPr>
        <w:spacing w:line="360" w:lineRule="auto"/>
        <w:rPr>
          <w:rFonts w:ascii="宋体" w:hAnsi="宋体"/>
          <w:bCs/>
          <w:color w:val="auto"/>
          <w:highlight w:val="none"/>
        </w:rPr>
      </w:pPr>
    </w:p>
    <w:p w14:paraId="59EA8FAC">
      <w:pPr>
        <w:spacing w:line="360" w:lineRule="auto"/>
        <w:rPr>
          <w:rFonts w:ascii="宋体" w:hAnsi="宋体"/>
          <w:bCs/>
          <w:color w:val="auto"/>
          <w:highlight w:val="none"/>
        </w:rPr>
      </w:pPr>
    </w:p>
    <w:p w14:paraId="16968E02">
      <w:pPr>
        <w:spacing w:line="360" w:lineRule="auto"/>
        <w:rPr>
          <w:rFonts w:ascii="宋体" w:hAnsi="宋体"/>
          <w:bCs/>
          <w:color w:val="auto"/>
          <w:highlight w:val="none"/>
        </w:rPr>
      </w:pPr>
    </w:p>
    <w:p w14:paraId="28D29202">
      <w:pPr>
        <w:spacing w:line="360" w:lineRule="auto"/>
        <w:rPr>
          <w:rFonts w:ascii="宋体" w:hAnsi="宋体"/>
          <w:bCs/>
          <w:color w:val="auto"/>
          <w:highlight w:val="none"/>
        </w:rPr>
      </w:pPr>
    </w:p>
    <w:p w14:paraId="24CA8C73">
      <w:pPr>
        <w:spacing w:line="360" w:lineRule="auto"/>
        <w:rPr>
          <w:rFonts w:ascii="宋体" w:hAnsi="宋体"/>
          <w:bCs/>
          <w:color w:val="auto"/>
          <w:highlight w:val="none"/>
        </w:rPr>
      </w:pPr>
    </w:p>
    <w:p w14:paraId="313821CE">
      <w:pPr>
        <w:spacing w:line="360" w:lineRule="auto"/>
        <w:rPr>
          <w:rFonts w:ascii="宋体" w:hAnsi="宋体"/>
          <w:bCs/>
          <w:color w:val="auto"/>
          <w:highlight w:val="none"/>
        </w:rPr>
      </w:pPr>
    </w:p>
    <w:p w14:paraId="7C00BE7C">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报价一览表（采购包四）</w:t>
      </w:r>
    </w:p>
    <w:p w14:paraId="43989062">
      <w:pPr>
        <w:jc w:val="center"/>
        <w:outlineLvl w:val="0"/>
        <w:rPr>
          <w:rFonts w:ascii="黑体" w:eastAsia="黑体"/>
          <w:bCs/>
          <w:color w:val="auto"/>
          <w:sz w:val="28"/>
          <w:szCs w:val="28"/>
          <w:highlight w:val="none"/>
        </w:rPr>
      </w:pPr>
    </w:p>
    <w:p w14:paraId="4EE7EAAC">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项目名称：2026-2027年度滨湖区残疾儿童基本康复训练服务定点机构项目框架协议采购</w:t>
      </w:r>
    </w:p>
    <w:p w14:paraId="78F8D672">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采购编号：    </w:t>
      </w:r>
    </w:p>
    <w:tbl>
      <w:tblPr>
        <w:tblStyle w:val="48"/>
        <w:tblW w:w="893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9"/>
        <w:gridCol w:w="4734"/>
      </w:tblGrid>
      <w:tr w14:paraId="355D5B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4" w:hRule="atLeast"/>
        </w:trPr>
        <w:tc>
          <w:tcPr>
            <w:tcW w:w="4199" w:type="dxa"/>
            <w:vAlign w:val="center"/>
          </w:tcPr>
          <w:p w14:paraId="7D47D171">
            <w:pPr>
              <w:ind w:firstLine="1440" w:firstLineChars="600"/>
              <w:jc w:val="left"/>
              <w:rPr>
                <w:rFonts w:ascii="宋体"/>
                <w:color w:val="auto"/>
                <w:sz w:val="28"/>
                <w:szCs w:val="28"/>
                <w:highlight w:val="none"/>
              </w:rPr>
            </w:pPr>
            <w:r>
              <w:rPr>
                <w:rFonts w:hint="eastAsia" w:ascii="宋体" w:hAnsi="宋体"/>
                <w:bCs/>
                <w:color w:val="auto"/>
                <w:sz w:val="24"/>
                <w:szCs w:val="20"/>
                <w:highlight w:val="none"/>
              </w:rPr>
              <w:t>优惠率</w:t>
            </w:r>
          </w:p>
        </w:tc>
        <w:tc>
          <w:tcPr>
            <w:tcW w:w="4734" w:type="dxa"/>
            <w:vAlign w:val="center"/>
          </w:tcPr>
          <w:p w14:paraId="473AC9D2">
            <w:pPr>
              <w:rPr>
                <w:rFonts w:ascii="宋体"/>
                <w:color w:val="auto"/>
                <w:sz w:val="24"/>
                <w:szCs w:val="20"/>
                <w:highlight w:val="none"/>
              </w:rPr>
            </w:pPr>
            <w:r>
              <w:rPr>
                <w:rFonts w:hint="eastAsia" w:ascii="宋体" w:hAnsi="宋体"/>
                <w:color w:val="auto"/>
                <w:sz w:val="24"/>
                <w:szCs w:val="20"/>
                <w:highlight w:val="none"/>
              </w:rPr>
              <w:t>小写：</w:t>
            </w:r>
            <w:r>
              <w:rPr>
                <w:rFonts w:hint="eastAsia" w:ascii="宋体" w:hAnsi="宋体"/>
                <w:color w:val="auto"/>
                <w:sz w:val="24"/>
                <w:szCs w:val="20"/>
                <w:highlight w:val="none"/>
                <w:u w:val="single"/>
              </w:rPr>
              <w:t>0%</w:t>
            </w:r>
          </w:p>
        </w:tc>
      </w:tr>
    </w:tbl>
    <w:p w14:paraId="597F97AD">
      <w:p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注：</w:t>
      </w:r>
    </w:p>
    <w:p w14:paraId="0EEAA8E2">
      <w:pPr>
        <w:numPr>
          <w:ilvl w:val="0"/>
          <w:numId w:val="13"/>
        </w:numPr>
        <w:spacing w:line="360" w:lineRule="auto"/>
        <w:rPr>
          <w:rFonts w:ascii="黑体" w:hAnsi="黑体" w:eastAsia="黑体" w:cs="黑体"/>
          <w:color w:val="auto"/>
          <w:sz w:val="24"/>
          <w:highlight w:val="none"/>
        </w:rPr>
      </w:pPr>
      <w:r>
        <w:rPr>
          <w:rFonts w:ascii="黑体" w:hAnsi="黑体" w:eastAsia="黑体" w:cs="黑体"/>
          <w:color w:val="auto"/>
          <w:sz w:val="24"/>
          <w:highlight w:val="none"/>
        </w:rPr>
        <w:t>因“苏采云”系统自带“报价一览表”模块，供应商须按“苏采云”系统中给定的模块格式，完整、正确地进行填报（具体位置为“基本目录”——“报价一览表”），此处可不用再重复填报。供应商的“报价一览表”及表中所填的报价均将以供应商在“苏采云”系统自带的模块格式中填报的为准。</w:t>
      </w:r>
    </w:p>
    <w:p w14:paraId="5B5DA231">
      <w:pPr>
        <w:numPr>
          <w:ilvl w:val="0"/>
          <w:numId w:val="13"/>
        </w:num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p>
    <w:p w14:paraId="32242591">
      <w:pPr>
        <w:numPr>
          <w:ilvl w:val="0"/>
          <w:numId w:val="13"/>
        </w:num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按照中华人民共和国财政部令第110号《政府采购框架协议采购方式管理暂行办法》，本项目实际采用通过审核合格（通过资格审查和符合性审查）即入围的方法，即满足审核条件和内容的供应商作为入围供应商的评审方法。</w:t>
      </w:r>
    </w:p>
    <w:p w14:paraId="2FC1F781">
      <w:pPr>
        <w:numPr>
          <w:ilvl w:val="0"/>
          <w:numId w:val="13"/>
        </w:num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各供应商优惠率均报0%即可。</w:t>
      </w:r>
    </w:p>
    <w:p w14:paraId="5175B5D3">
      <w:pPr>
        <w:spacing w:line="360" w:lineRule="auto"/>
        <w:rPr>
          <w:rFonts w:ascii="宋体" w:hAnsi="宋体"/>
          <w:bCs/>
          <w:color w:val="auto"/>
          <w:highlight w:val="none"/>
        </w:rPr>
      </w:pPr>
    </w:p>
    <w:p w14:paraId="2BCD3F43">
      <w:pPr>
        <w:spacing w:line="360" w:lineRule="auto"/>
        <w:rPr>
          <w:rFonts w:ascii="宋体" w:hAnsi="宋体"/>
          <w:bCs/>
          <w:color w:val="auto"/>
          <w:highlight w:val="none"/>
        </w:rPr>
      </w:pPr>
    </w:p>
    <w:p w14:paraId="1C117D7F">
      <w:pPr>
        <w:spacing w:line="360" w:lineRule="auto"/>
        <w:rPr>
          <w:rFonts w:ascii="宋体" w:hAnsi="宋体"/>
          <w:bCs/>
          <w:color w:val="auto"/>
          <w:highlight w:val="none"/>
        </w:rPr>
      </w:pPr>
    </w:p>
    <w:p w14:paraId="2205CE89">
      <w:pPr>
        <w:spacing w:line="360" w:lineRule="auto"/>
        <w:rPr>
          <w:rFonts w:ascii="宋体" w:hAnsi="宋体"/>
          <w:bCs/>
          <w:color w:val="auto"/>
          <w:highlight w:val="none"/>
        </w:rPr>
      </w:pPr>
    </w:p>
    <w:p w14:paraId="406454CF">
      <w:pPr>
        <w:spacing w:line="360" w:lineRule="auto"/>
        <w:rPr>
          <w:rFonts w:ascii="宋体" w:hAnsi="宋体"/>
          <w:bCs/>
          <w:color w:val="auto"/>
          <w:highlight w:val="none"/>
        </w:rPr>
      </w:pPr>
    </w:p>
    <w:p w14:paraId="15ABEDE1">
      <w:pPr>
        <w:spacing w:line="360" w:lineRule="auto"/>
        <w:rPr>
          <w:rFonts w:ascii="宋体" w:hAnsi="宋体"/>
          <w:bCs/>
          <w:color w:val="auto"/>
          <w:highlight w:val="none"/>
        </w:rPr>
      </w:pPr>
    </w:p>
    <w:p w14:paraId="0A899F03">
      <w:pPr>
        <w:spacing w:line="360" w:lineRule="auto"/>
        <w:rPr>
          <w:rFonts w:ascii="宋体" w:hAnsi="宋体"/>
          <w:bCs/>
          <w:color w:val="auto"/>
          <w:highlight w:val="none"/>
        </w:rPr>
      </w:pPr>
    </w:p>
    <w:p w14:paraId="35134847">
      <w:pPr>
        <w:spacing w:line="360" w:lineRule="auto"/>
        <w:rPr>
          <w:rFonts w:ascii="宋体" w:hAnsi="宋体"/>
          <w:bCs/>
          <w:color w:val="auto"/>
          <w:highlight w:val="none"/>
        </w:rPr>
      </w:pPr>
    </w:p>
    <w:p w14:paraId="3FC8954C">
      <w:pPr>
        <w:spacing w:line="360" w:lineRule="auto"/>
        <w:rPr>
          <w:rFonts w:ascii="宋体" w:hAnsi="宋体"/>
          <w:bCs/>
          <w:color w:val="auto"/>
          <w:highlight w:val="none"/>
        </w:rPr>
      </w:pPr>
    </w:p>
    <w:p w14:paraId="0D1465B8">
      <w:pPr>
        <w:spacing w:line="360" w:lineRule="auto"/>
        <w:rPr>
          <w:rFonts w:ascii="宋体" w:hAnsi="宋体"/>
          <w:bCs/>
          <w:color w:val="auto"/>
          <w:highlight w:val="none"/>
        </w:rPr>
      </w:pPr>
    </w:p>
    <w:p w14:paraId="16B6EE2D">
      <w:pPr>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报价一览表（采购包五）</w:t>
      </w:r>
    </w:p>
    <w:p w14:paraId="02DBEA4D">
      <w:pPr>
        <w:jc w:val="center"/>
        <w:outlineLvl w:val="0"/>
        <w:rPr>
          <w:rFonts w:ascii="黑体" w:eastAsia="黑体"/>
          <w:bCs/>
          <w:color w:val="auto"/>
          <w:sz w:val="28"/>
          <w:szCs w:val="28"/>
          <w:highlight w:val="none"/>
        </w:rPr>
      </w:pPr>
    </w:p>
    <w:p w14:paraId="49B8370E">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项目名称：2026-2027年度滨湖区残疾儿童基本康复训练服务定点机构项目框架协议采购</w:t>
      </w:r>
    </w:p>
    <w:p w14:paraId="1555086B">
      <w:pPr>
        <w:spacing w:line="360" w:lineRule="auto"/>
        <w:rPr>
          <w:rFonts w:ascii="黑体" w:eastAsia="黑体"/>
          <w:bCs/>
          <w:color w:val="auto"/>
          <w:sz w:val="24"/>
          <w:highlight w:val="none"/>
        </w:rPr>
      </w:pPr>
      <w:r>
        <w:rPr>
          <w:rFonts w:hint="eastAsia" w:ascii="黑体" w:eastAsia="黑体"/>
          <w:bCs/>
          <w:color w:val="auto"/>
          <w:sz w:val="24"/>
          <w:highlight w:val="none"/>
        </w:rPr>
        <w:t xml:space="preserve">供应商名称（盖章）                    采购编号：    </w:t>
      </w:r>
    </w:p>
    <w:tbl>
      <w:tblPr>
        <w:tblStyle w:val="48"/>
        <w:tblW w:w="8930"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198"/>
        <w:gridCol w:w="4732"/>
      </w:tblGrid>
      <w:tr w14:paraId="06780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54" w:hRule="atLeast"/>
        </w:trPr>
        <w:tc>
          <w:tcPr>
            <w:tcW w:w="4199" w:type="dxa"/>
            <w:tcBorders>
              <w:top w:val="single" w:color="000000" w:sz="4" w:space="0"/>
              <w:left w:val="single" w:color="000000" w:sz="4" w:space="0"/>
              <w:bottom w:val="single" w:color="000000" w:sz="4" w:space="0"/>
              <w:right w:val="single" w:color="000000" w:sz="4" w:space="0"/>
            </w:tcBorders>
            <w:vAlign w:val="center"/>
          </w:tcPr>
          <w:p w14:paraId="7A30B26E">
            <w:pPr>
              <w:ind w:firstLine="1440" w:firstLineChars="600"/>
              <w:jc w:val="left"/>
              <w:rPr>
                <w:rFonts w:ascii="宋体"/>
                <w:color w:val="auto"/>
                <w:sz w:val="28"/>
                <w:szCs w:val="28"/>
                <w:highlight w:val="none"/>
              </w:rPr>
            </w:pPr>
            <w:r>
              <w:rPr>
                <w:rFonts w:hint="eastAsia" w:ascii="宋体" w:hAnsi="宋体"/>
                <w:bCs/>
                <w:color w:val="auto"/>
                <w:sz w:val="24"/>
                <w:szCs w:val="20"/>
                <w:highlight w:val="none"/>
              </w:rPr>
              <w:t>优惠率</w:t>
            </w:r>
          </w:p>
        </w:tc>
        <w:tc>
          <w:tcPr>
            <w:tcW w:w="4734" w:type="dxa"/>
            <w:tcBorders>
              <w:top w:val="single" w:color="000000" w:sz="4" w:space="0"/>
              <w:left w:val="single" w:color="000000" w:sz="4" w:space="0"/>
              <w:bottom w:val="single" w:color="000000" w:sz="4" w:space="0"/>
              <w:right w:val="single" w:color="000000" w:sz="4" w:space="0"/>
            </w:tcBorders>
            <w:vAlign w:val="center"/>
          </w:tcPr>
          <w:p w14:paraId="393A23B1">
            <w:pPr>
              <w:rPr>
                <w:rFonts w:ascii="宋体"/>
                <w:color w:val="auto"/>
                <w:sz w:val="24"/>
                <w:szCs w:val="20"/>
                <w:highlight w:val="none"/>
              </w:rPr>
            </w:pPr>
            <w:r>
              <w:rPr>
                <w:rFonts w:hint="eastAsia" w:ascii="宋体" w:hAnsi="宋体"/>
                <w:color w:val="auto"/>
                <w:sz w:val="24"/>
                <w:szCs w:val="20"/>
                <w:highlight w:val="none"/>
              </w:rPr>
              <w:t>小写：</w:t>
            </w:r>
            <w:r>
              <w:rPr>
                <w:rFonts w:hint="eastAsia" w:ascii="宋体" w:hAnsi="宋体"/>
                <w:color w:val="auto"/>
                <w:sz w:val="24"/>
                <w:szCs w:val="20"/>
                <w:highlight w:val="none"/>
                <w:u w:val="single"/>
              </w:rPr>
              <w:t>0%</w:t>
            </w:r>
          </w:p>
        </w:tc>
      </w:tr>
    </w:tbl>
    <w:p w14:paraId="46EBDF75">
      <w:pPr>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注：</w:t>
      </w:r>
    </w:p>
    <w:p w14:paraId="61E873BA">
      <w:pPr>
        <w:numPr>
          <w:ilvl w:val="0"/>
          <w:numId w:val="14"/>
        </w:numPr>
        <w:tabs>
          <w:tab w:val="left" w:pos="312"/>
        </w:tabs>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因“苏采云”系统自带“报价一览表”模块，供应商须按“苏采云”系统中给定的模块格式，完整、正确地进行填报（具体位置为“基本目录”——“报价一览表”），此处可不用再重复填报。供应商的“报价一览表”及表中所填的报价均将以供应商在“苏采云”系统自带的模块格式中填报的为准。</w:t>
      </w:r>
    </w:p>
    <w:p w14:paraId="2DAC99D0">
      <w:pPr>
        <w:numPr>
          <w:ilvl w:val="0"/>
          <w:numId w:val="14"/>
        </w:numPr>
        <w:tabs>
          <w:tab w:val="left" w:pos="312"/>
        </w:tabs>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由于系统原因，用封闭式框架协议通道进行本项目开放式框架协议采购，必须设置第一阶段入围供应商的评审方法。本项目确定第一阶段入围供应商的评审方法为价格优先法。价格优先法是指对满足采购需求且响应报价不超过最高限制单价的产品，按照响应报价从低到高排序，根据征集文件规定的淘汰率或者入围供应商数量上限，确定入围供应商的评审方法。</w:t>
      </w:r>
    </w:p>
    <w:p w14:paraId="519581F9">
      <w:pPr>
        <w:numPr>
          <w:ilvl w:val="0"/>
          <w:numId w:val="14"/>
        </w:numPr>
        <w:tabs>
          <w:tab w:val="left" w:pos="312"/>
        </w:tabs>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按照中华人民共和国财政部令第110号《政府采购框架协议采购方式管理暂行办法》，本项目实际采用通过审核合格（通过资格审查和符合性审查）即入围的方法，即满足审核条件和内容的供应商作为入围供应商的评审方法。</w:t>
      </w:r>
    </w:p>
    <w:p w14:paraId="6FA81D3F">
      <w:pPr>
        <w:numPr>
          <w:ilvl w:val="0"/>
          <w:numId w:val="14"/>
        </w:numPr>
        <w:tabs>
          <w:tab w:val="left" w:pos="312"/>
        </w:tabs>
        <w:spacing w:line="360" w:lineRule="auto"/>
        <w:rPr>
          <w:rFonts w:ascii="黑体" w:hAnsi="黑体" w:eastAsia="黑体" w:cs="黑体"/>
          <w:color w:val="auto"/>
          <w:sz w:val="24"/>
          <w:highlight w:val="none"/>
        </w:rPr>
      </w:pPr>
      <w:r>
        <w:rPr>
          <w:rFonts w:hint="eastAsia" w:ascii="黑体" w:hAnsi="黑体" w:eastAsia="黑体" w:cs="黑体"/>
          <w:color w:val="auto"/>
          <w:sz w:val="24"/>
          <w:highlight w:val="none"/>
        </w:rPr>
        <w:t>各供应商优惠率均报0%即可。</w:t>
      </w:r>
    </w:p>
    <w:p w14:paraId="628F06E7">
      <w:pPr>
        <w:spacing w:line="360" w:lineRule="auto"/>
        <w:rPr>
          <w:rFonts w:ascii="宋体" w:hAnsi="宋体"/>
          <w:bCs/>
          <w:color w:val="auto"/>
          <w:highlight w:val="none"/>
        </w:rPr>
      </w:pPr>
    </w:p>
    <w:p w14:paraId="2408BB90">
      <w:pPr>
        <w:spacing w:line="360" w:lineRule="auto"/>
        <w:rPr>
          <w:rFonts w:ascii="宋体" w:hAnsi="宋体"/>
          <w:bCs/>
          <w:color w:val="auto"/>
          <w:highlight w:val="none"/>
        </w:rPr>
      </w:pPr>
    </w:p>
    <w:p w14:paraId="7E104F83">
      <w:pPr>
        <w:spacing w:line="360" w:lineRule="auto"/>
        <w:rPr>
          <w:rFonts w:ascii="宋体" w:hAnsi="宋体"/>
          <w:bCs/>
          <w:color w:val="auto"/>
          <w:highlight w:val="none"/>
        </w:rPr>
      </w:pPr>
    </w:p>
    <w:p w14:paraId="52C74A60">
      <w:pPr>
        <w:spacing w:line="360" w:lineRule="auto"/>
        <w:rPr>
          <w:rFonts w:ascii="宋体" w:hAnsi="宋体"/>
          <w:bCs/>
          <w:color w:val="auto"/>
          <w:highlight w:val="none"/>
        </w:rPr>
      </w:pPr>
    </w:p>
    <w:p w14:paraId="37285E5B">
      <w:pPr>
        <w:spacing w:line="360" w:lineRule="auto"/>
        <w:rPr>
          <w:rFonts w:ascii="宋体" w:hAnsi="宋体"/>
          <w:bCs/>
          <w:color w:val="auto"/>
          <w:highlight w:val="none"/>
        </w:rPr>
      </w:pPr>
      <w:r>
        <w:rPr>
          <w:rFonts w:hint="eastAsia" w:ascii="宋体" w:hAnsi="宋体"/>
          <w:bCs/>
          <w:color w:val="auto"/>
          <w:highlight w:val="none"/>
        </w:rPr>
        <w:br w:type="page" w:clear="all"/>
      </w:r>
    </w:p>
    <w:p w14:paraId="4E425396">
      <w:pPr>
        <w:tabs>
          <w:tab w:val="left" w:pos="3780"/>
        </w:tabs>
        <w:outlineLvl w:val="0"/>
        <w:rPr>
          <w:rFonts w:ascii="黑体" w:eastAsia="黑体"/>
          <w:bCs/>
          <w:color w:val="auto"/>
          <w:sz w:val="28"/>
          <w:szCs w:val="28"/>
          <w:highlight w:val="none"/>
        </w:rPr>
      </w:pPr>
      <w:r>
        <w:rPr>
          <w:rFonts w:hint="eastAsia" w:ascii="黑体" w:eastAsia="黑体"/>
          <w:bCs/>
          <w:color w:val="auto"/>
          <w:sz w:val="28"/>
          <w:szCs w:val="28"/>
          <w:highlight w:val="none"/>
        </w:rPr>
        <w:t>七、投标人情况一览表（给定格式）</w:t>
      </w:r>
    </w:p>
    <w:p w14:paraId="46D42153">
      <w:pPr>
        <w:tabs>
          <w:tab w:val="left" w:pos="3780"/>
        </w:tabs>
        <w:outlineLvl w:val="0"/>
        <w:rPr>
          <w:rFonts w:ascii="黑体" w:eastAsia="黑体"/>
          <w:bCs/>
          <w:color w:val="auto"/>
          <w:sz w:val="28"/>
          <w:szCs w:val="28"/>
          <w:highlight w:val="none"/>
        </w:rPr>
      </w:pPr>
      <w:r>
        <w:rPr>
          <w:rFonts w:hint="eastAsia" w:ascii="黑体" w:eastAsia="黑体"/>
          <w:bCs/>
          <w:color w:val="auto"/>
          <w:sz w:val="28"/>
          <w:szCs w:val="28"/>
          <w:highlight w:val="none"/>
        </w:rPr>
        <w:tab/>
      </w:r>
      <w:r>
        <w:rPr>
          <w:rFonts w:hint="eastAsia" w:ascii="黑体" w:eastAsia="黑体"/>
          <w:bCs/>
          <w:color w:val="auto"/>
          <w:sz w:val="28"/>
          <w:szCs w:val="28"/>
          <w:highlight w:val="none"/>
        </w:rPr>
        <w:t>投标人情况一览表</w:t>
      </w:r>
    </w:p>
    <w:p w14:paraId="530F4B69">
      <w:pPr>
        <w:spacing w:line="400" w:lineRule="exact"/>
        <w:jc w:val="center"/>
        <w:rPr>
          <w:rFonts w:ascii="宋体" w:hAnsi="宋体"/>
          <w:bCs/>
          <w:color w:val="auto"/>
          <w:sz w:val="24"/>
          <w:szCs w:val="24"/>
          <w:highlight w:val="none"/>
        </w:rPr>
      </w:pPr>
    </w:p>
    <w:p w14:paraId="0CCCE852">
      <w:pPr>
        <w:spacing w:line="400" w:lineRule="exact"/>
        <w:rPr>
          <w:rFonts w:ascii="宋体" w:hAnsi="宋体"/>
          <w:bCs/>
          <w:color w:val="auto"/>
          <w:highlight w:val="none"/>
        </w:rPr>
      </w:pPr>
      <w:r>
        <w:rPr>
          <w:rFonts w:hint="eastAsia" w:ascii="黑体" w:eastAsia="黑体"/>
          <w:bCs/>
          <w:color w:val="auto"/>
          <w:sz w:val="24"/>
          <w:szCs w:val="24"/>
          <w:highlight w:val="none"/>
        </w:rPr>
        <w:t xml:space="preserve">供应商名称（盖章）                                     采购项目编号： </w:t>
      </w:r>
    </w:p>
    <w:tbl>
      <w:tblPr>
        <w:tblStyle w:val="48"/>
        <w:tblW w:w="9923"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415"/>
        <w:gridCol w:w="1687"/>
        <w:gridCol w:w="1778"/>
        <w:gridCol w:w="4043"/>
      </w:tblGrid>
      <w:tr w14:paraId="59BDA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415" w:type="dxa"/>
            <w:vAlign w:val="center"/>
          </w:tcPr>
          <w:p w14:paraId="2BF937DB">
            <w:pPr>
              <w:pStyle w:val="4"/>
              <w:overflowPunct w:val="0"/>
              <w:spacing w:line="360" w:lineRule="auto"/>
              <w:ind w:firstLine="0"/>
              <w:rPr>
                <w:rFonts w:ascii="宋体" w:hAnsi="宋体"/>
                <w:color w:val="auto"/>
                <w:highlight w:val="none"/>
              </w:rPr>
            </w:pPr>
            <w:r>
              <w:rPr>
                <w:rFonts w:ascii="宋体" w:hAnsi="宋体"/>
                <w:color w:val="auto"/>
                <w:highlight w:val="none"/>
              </w:rPr>
              <w:t>法定代表人</w:t>
            </w:r>
          </w:p>
        </w:tc>
        <w:tc>
          <w:tcPr>
            <w:tcW w:w="1687" w:type="dxa"/>
            <w:vAlign w:val="center"/>
          </w:tcPr>
          <w:p w14:paraId="12E08A87">
            <w:pPr>
              <w:pStyle w:val="4"/>
              <w:overflowPunct w:val="0"/>
              <w:spacing w:line="360" w:lineRule="auto"/>
              <w:ind w:firstLine="0"/>
              <w:rPr>
                <w:rFonts w:ascii="宋体" w:hAnsi="宋体"/>
                <w:color w:val="auto"/>
                <w:highlight w:val="none"/>
              </w:rPr>
            </w:pPr>
          </w:p>
        </w:tc>
        <w:tc>
          <w:tcPr>
            <w:tcW w:w="1778" w:type="dxa"/>
            <w:vAlign w:val="center"/>
          </w:tcPr>
          <w:p w14:paraId="4B2F18D6">
            <w:pPr>
              <w:pStyle w:val="4"/>
              <w:overflowPunct w:val="0"/>
              <w:spacing w:line="360" w:lineRule="auto"/>
              <w:ind w:firstLine="0"/>
              <w:rPr>
                <w:rFonts w:ascii="宋体" w:hAnsi="宋体"/>
                <w:color w:val="auto"/>
                <w:highlight w:val="none"/>
              </w:rPr>
            </w:pPr>
            <w:r>
              <w:rPr>
                <w:rFonts w:ascii="宋体" w:hAnsi="宋体"/>
                <w:color w:val="auto"/>
                <w:highlight w:val="none"/>
              </w:rPr>
              <w:t>成立日期</w:t>
            </w:r>
          </w:p>
        </w:tc>
        <w:tc>
          <w:tcPr>
            <w:tcW w:w="4043" w:type="dxa"/>
            <w:vAlign w:val="center"/>
          </w:tcPr>
          <w:p w14:paraId="68D8A1A2">
            <w:pPr>
              <w:pStyle w:val="4"/>
              <w:overflowPunct w:val="0"/>
              <w:spacing w:line="360" w:lineRule="auto"/>
              <w:ind w:firstLine="660"/>
              <w:rPr>
                <w:rFonts w:ascii="宋体" w:hAnsi="宋体"/>
                <w:color w:val="auto"/>
                <w:highlight w:val="none"/>
              </w:rPr>
            </w:pPr>
            <w:r>
              <w:rPr>
                <w:rFonts w:ascii="宋体" w:hAnsi="宋体"/>
                <w:color w:val="auto"/>
                <w:highlight w:val="none"/>
              </w:rPr>
              <w:t>年   月   日</w:t>
            </w:r>
          </w:p>
        </w:tc>
      </w:tr>
      <w:tr w14:paraId="26318D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415" w:type="dxa"/>
            <w:vAlign w:val="center"/>
          </w:tcPr>
          <w:p w14:paraId="5AB63CB4">
            <w:pPr>
              <w:pStyle w:val="4"/>
              <w:overflowPunct w:val="0"/>
              <w:spacing w:line="360" w:lineRule="auto"/>
              <w:ind w:firstLine="0"/>
              <w:rPr>
                <w:rFonts w:ascii="宋体" w:hAnsi="宋体"/>
                <w:color w:val="auto"/>
                <w:highlight w:val="none"/>
              </w:rPr>
            </w:pPr>
            <w:r>
              <w:rPr>
                <w:rFonts w:ascii="宋体" w:hAnsi="宋体"/>
                <w:color w:val="auto"/>
                <w:highlight w:val="none"/>
              </w:rPr>
              <w:t>企业地址</w:t>
            </w:r>
          </w:p>
        </w:tc>
        <w:tc>
          <w:tcPr>
            <w:tcW w:w="1687" w:type="dxa"/>
            <w:vAlign w:val="center"/>
          </w:tcPr>
          <w:p w14:paraId="1C43B03E">
            <w:pPr>
              <w:pStyle w:val="4"/>
              <w:overflowPunct w:val="0"/>
              <w:spacing w:line="360" w:lineRule="auto"/>
              <w:ind w:firstLine="0"/>
              <w:rPr>
                <w:rFonts w:ascii="宋体" w:hAnsi="宋体"/>
                <w:color w:val="auto"/>
                <w:highlight w:val="none"/>
              </w:rPr>
            </w:pPr>
          </w:p>
        </w:tc>
        <w:tc>
          <w:tcPr>
            <w:tcW w:w="1778" w:type="dxa"/>
            <w:vAlign w:val="center"/>
          </w:tcPr>
          <w:p w14:paraId="6BCCEEBF">
            <w:pPr>
              <w:pStyle w:val="4"/>
              <w:overflowPunct w:val="0"/>
              <w:spacing w:line="360" w:lineRule="auto"/>
              <w:ind w:firstLine="0"/>
              <w:rPr>
                <w:rFonts w:ascii="宋体" w:hAnsi="宋体"/>
                <w:color w:val="auto"/>
                <w:highlight w:val="none"/>
              </w:rPr>
            </w:pPr>
            <w:r>
              <w:rPr>
                <w:rFonts w:ascii="宋体" w:hAnsi="宋体"/>
                <w:color w:val="auto"/>
                <w:highlight w:val="none"/>
              </w:rPr>
              <w:t>注册资本</w:t>
            </w:r>
          </w:p>
        </w:tc>
        <w:tc>
          <w:tcPr>
            <w:tcW w:w="4043" w:type="dxa"/>
            <w:vAlign w:val="center"/>
          </w:tcPr>
          <w:p w14:paraId="2FF00661">
            <w:pPr>
              <w:pStyle w:val="4"/>
              <w:overflowPunct w:val="0"/>
              <w:spacing w:line="360" w:lineRule="auto"/>
              <w:ind w:firstLine="1900" w:firstLineChars="950"/>
              <w:rPr>
                <w:rFonts w:ascii="宋体" w:hAnsi="宋体"/>
                <w:color w:val="auto"/>
                <w:highlight w:val="none"/>
              </w:rPr>
            </w:pPr>
            <w:r>
              <w:rPr>
                <w:rFonts w:ascii="宋体" w:hAnsi="宋体"/>
                <w:color w:val="auto"/>
                <w:highlight w:val="none"/>
              </w:rPr>
              <w:t>万元</w:t>
            </w:r>
          </w:p>
        </w:tc>
      </w:tr>
      <w:tr w14:paraId="40DAE8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415" w:type="dxa"/>
            <w:vAlign w:val="center"/>
          </w:tcPr>
          <w:p w14:paraId="561903A0">
            <w:pPr>
              <w:pStyle w:val="4"/>
              <w:overflowPunct w:val="0"/>
              <w:spacing w:line="360" w:lineRule="auto"/>
              <w:ind w:firstLine="0"/>
              <w:rPr>
                <w:rFonts w:ascii="宋体" w:hAnsi="宋体"/>
                <w:color w:val="auto"/>
                <w:highlight w:val="none"/>
              </w:rPr>
            </w:pPr>
            <w:r>
              <w:rPr>
                <w:rFonts w:hint="eastAsia" w:ascii="宋体" w:hAnsi="宋体"/>
                <w:color w:val="auto"/>
                <w:highlight w:val="none"/>
              </w:rPr>
              <w:t>坐落地址</w:t>
            </w:r>
          </w:p>
        </w:tc>
        <w:tc>
          <w:tcPr>
            <w:tcW w:w="7508" w:type="dxa"/>
            <w:gridSpan w:val="3"/>
            <w:vAlign w:val="center"/>
          </w:tcPr>
          <w:p w14:paraId="18AD0664">
            <w:pPr>
              <w:pStyle w:val="4"/>
              <w:overflowPunct w:val="0"/>
              <w:spacing w:line="360" w:lineRule="auto"/>
              <w:ind w:firstLine="0"/>
              <w:rPr>
                <w:rFonts w:ascii="宋体" w:hAnsi="宋体"/>
                <w:color w:val="auto"/>
                <w:highlight w:val="none"/>
              </w:rPr>
            </w:pPr>
          </w:p>
        </w:tc>
      </w:tr>
      <w:tr w14:paraId="545D6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71" w:hRule="atLeast"/>
        </w:trPr>
        <w:tc>
          <w:tcPr>
            <w:tcW w:w="2415" w:type="dxa"/>
            <w:vAlign w:val="center"/>
          </w:tcPr>
          <w:p w14:paraId="2905C7CB">
            <w:pPr>
              <w:pStyle w:val="4"/>
              <w:overflowPunct w:val="0"/>
              <w:spacing w:line="360" w:lineRule="auto"/>
              <w:ind w:firstLine="0"/>
              <w:rPr>
                <w:rFonts w:ascii="宋体" w:hAnsi="宋体"/>
                <w:color w:val="auto"/>
                <w:highlight w:val="none"/>
              </w:rPr>
            </w:pPr>
            <w:r>
              <w:rPr>
                <w:rFonts w:ascii="宋体" w:hAnsi="宋体"/>
                <w:color w:val="auto"/>
                <w:highlight w:val="none"/>
              </w:rPr>
              <w:t>职工人数</w:t>
            </w:r>
          </w:p>
        </w:tc>
        <w:tc>
          <w:tcPr>
            <w:tcW w:w="7508" w:type="dxa"/>
            <w:gridSpan w:val="3"/>
            <w:vAlign w:val="center"/>
          </w:tcPr>
          <w:p w14:paraId="5DCE74A3">
            <w:pPr>
              <w:pStyle w:val="4"/>
              <w:overflowPunct w:val="0"/>
              <w:spacing w:line="360" w:lineRule="auto"/>
              <w:ind w:firstLine="0"/>
              <w:rPr>
                <w:rFonts w:ascii="宋体" w:hAnsi="宋体"/>
                <w:color w:val="auto"/>
                <w:highlight w:val="none"/>
                <w:u w:val="single"/>
              </w:rPr>
            </w:pPr>
          </w:p>
        </w:tc>
      </w:tr>
      <w:tr w14:paraId="3DA95F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1119" w:hRule="atLeast"/>
        </w:trPr>
        <w:tc>
          <w:tcPr>
            <w:tcW w:w="2415" w:type="dxa"/>
            <w:vAlign w:val="center"/>
          </w:tcPr>
          <w:p w14:paraId="1F14876F">
            <w:pPr>
              <w:pStyle w:val="4"/>
              <w:overflowPunct w:val="0"/>
              <w:spacing w:line="360" w:lineRule="auto"/>
              <w:ind w:firstLine="0"/>
              <w:rPr>
                <w:rFonts w:ascii="宋体" w:hAnsi="宋体"/>
                <w:color w:val="auto"/>
                <w:highlight w:val="none"/>
              </w:rPr>
            </w:pPr>
            <w:r>
              <w:rPr>
                <w:rFonts w:hint="eastAsia" w:ascii="宋体" w:hAnsi="宋体"/>
                <w:color w:val="auto"/>
                <w:highlight w:val="none"/>
              </w:rPr>
              <w:t>经营</w:t>
            </w:r>
            <w:r>
              <w:rPr>
                <w:rFonts w:ascii="宋体" w:hAnsi="宋体"/>
                <w:color w:val="auto"/>
                <w:highlight w:val="none"/>
              </w:rPr>
              <w:t>面积</w:t>
            </w:r>
          </w:p>
        </w:tc>
        <w:tc>
          <w:tcPr>
            <w:tcW w:w="1687" w:type="dxa"/>
            <w:vAlign w:val="center"/>
          </w:tcPr>
          <w:p w14:paraId="719C62E5">
            <w:pPr>
              <w:pStyle w:val="4"/>
              <w:overflowPunct w:val="0"/>
              <w:spacing w:line="360" w:lineRule="auto"/>
              <w:ind w:firstLine="0"/>
              <w:rPr>
                <w:rFonts w:ascii="宋体" w:hAnsi="宋体"/>
                <w:color w:val="auto"/>
                <w:highlight w:val="none"/>
              </w:rPr>
            </w:pPr>
            <w:r>
              <w:rPr>
                <w:rFonts w:ascii="宋体" w:hAnsi="宋体"/>
                <w:color w:val="auto"/>
                <w:highlight w:val="none"/>
              </w:rPr>
              <w:t xml:space="preserve">       平方米</w:t>
            </w:r>
          </w:p>
        </w:tc>
        <w:tc>
          <w:tcPr>
            <w:tcW w:w="1778" w:type="dxa"/>
            <w:vAlign w:val="center"/>
          </w:tcPr>
          <w:p w14:paraId="178AE687">
            <w:pPr>
              <w:pStyle w:val="4"/>
              <w:overflowPunct w:val="0"/>
              <w:spacing w:line="360" w:lineRule="auto"/>
              <w:ind w:firstLine="0"/>
              <w:rPr>
                <w:rFonts w:ascii="宋体" w:hAnsi="宋体"/>
                <w:color w:val="auto"/>
                <w:highlight w:val="none"/>
              </w:rPr>
            </w:pPr>
            <w:r>
              <w:rPr>
                <w:rFonts w:ascii="宋体" w:hAnsi="宋体"/>
                <w:color w:val="auto"/>
                <w:highlight w:val="none"/>
              </w:rPr>
              <w:t>其中：</w:t>
            </w:r>
          </w:p>
        </w:tc>
        <w:tc>
          <w:tcPr>
            <w:tcW w:w="4043" w:type="dxa"/>
            <w:vAlign w:val="center"/>
          </w:tcPr>
          <w:p w14:paraId="46BA7BC5">
            <w:pPr>
              <w:pStyle w:val="4"/>
              <w:overflowPunct w:val="0"/>
              <w:spacing w:line="360" w:lineRule="auto"/>
              <w:ind w:firstLine="0"/>
              <w:rPr>
                <w:rFonts w:ascii="宋体" w:hAnsi="宋体"/>
                <w:color w:val="auto"/>
                <w:highlight w:val="none"/>
                <w:lang w:eastAsia="zh-CN"/>
              </w:rPr>
            </w:pPr>
            <w:r>
              <w:rPr>
                <w:rFonts w:ascii="宋体" w:hAnsi="宋体"/>
                <w:color w:val="auto"/>
                <w:highlight w:val="none"/>
                <w:lang w:eastAsia="zh-CN"/>
              </w:rPr>
              <w:t>自有面积</w:t>
            </w:r>
            <w:r>
              <w:rPr>
                <w:rFonts w:ascii="宋体" w:hAnsi="宋体"/>
                <w:color w:val="auto"/>
                <w:highlight w:val="none"/>
                <w:u w:val="single"/>
                <w:lang w:eastAsia="zh-CN"/>
              </w:rPr>
              <w:t xml:space="preserve">      </w:t>
            </w:r>
            <w:r>
              <w:rPr>
                <w:rFonts w:ascii="宋体" w:hAnsi="宋体"/>
                <w:color w:val="auto"/>
                <w:highlight w:val="none"/>
                <w:lang w:eastAsia="zh-CN"/>
              </w:rPr>
              <w:t>平方米</w:t>
            </w:r>
          </w:p>
          <w:p w14:paraId="7B2B0D47">
            <w:pPr>
              <w:pStyle w:val="4"/>
              <w:overflowPunct w:val="0"/>
              <w:spacing w:line="360" w:lineRule="auto"/>
              <w:ind w:firstLine="0"/>
              <w:rPr>
                <w:rFonts w:ascii="宋体" w:hAnsi="宋体"/>
                <w:color w:val="auto"/>
                <w:highlight w:val="none"/>
                <w:lang w:eastAsia="zh-CN"/>
              </w:rPr>
            </w:pPr>
            <w:r>
              <w:rPr>
                <w:rFonts w:ascii="宋体" w:hAnsi="宋体"/>
                <w:color w:val="auto"/>
                <w:highlight w:val="none"/>
                <w:lang w:eastAsia="zh-CN"/>
              </w:rPr>
              <w:t>承租面积</w:t>
            </w:r>
            <w:r>
              <w:rPr>
                <w:rFonts w:ascii="宋体" w:hAnsi="宋体"/>
                <w:color w:val="auto"/>
                <w:highlight w:val="none"/>
                <w:u w:val="single"/>
                <w:lang w:eastAsia="zh-CN"/>
              </w:rPr>
              <w:t xml:space="preserve">      </w:t>
            </w:r>
            <w:r>
              <w:rPr>
                <w:rFonts w:ascii="宋体" w:hAnsi="宋体"/>
                <w:color w:val="auto"/>
                <w:highlight w:val="none"/>
                <w:lang w:eastAsia="zh-CN"/>
              </w:rPr>
              <w:t>平方米</w:t>
            </w:r>
          </w:p>
        </w:tc>
      </w:tr>
      <w:tr w14:paraId="7ACB0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868" w:hRule="atLeast"/>
        </w:trPr>
        <w:tc>
          <w:tcPr>
            <w:tcW w:w="2415" w:type="dxa"/>
            <w:vAlign w:val="center"/>
          </w:tcPr>
          <w:p w14:paraId="25BD703F">
            <w:pPr>
              <w:pStyle w:val="4"/>
              <w:overflowPunct w:val="0"/>
              <w:spacing w:line="360" w:lineRule="auto"/>
              <w:ind w:firstLine="0"/>
              <w:rPr>
                <w:rFonts w:ascii="宋体" w:hAnsi="宋体"/>
                <w:color w:val="auto"/>
                <w:highlight w:val="none"/>
                <w:lang w:eastAsia="zh-CN"/>
              </w:rPr>
            </w:pPr>
            <w:r>
              <w:rPr>
                <w:rFonts w:ascii="宋体" w:hAnsi="宋体"/>
                <w:color w:val="auto"/>
                <w:highlight w:val="none"/>
                <w:lang w:eastAsia="zh-CN"/>
              </w:rPr>
              <w:t>单位简</w:t>
            </w:r>
            <w:r>
              <w:rPr>
                <w:rFonts w:hint="eastAsia" w:ascii="宋体" w:hAnsi="宋体"/>
                <w:color w:val="auto"/>
                <w:highlight w:val="none"/>
                <w:lang w:eastAsia="zh-CN"/>
              </w:rPr>
              <w:t>介</w:t>
            </w:r>
            <w:r>
              <w:rPr>
                <w:rFonts w:ascii="宋体" w:hAnsi="宋体"/>
                <w:color w:val="auto"/>
                <w:highlight w:val="none"/>
                <w:lang w:eastAsia="zh-CN"/>
              </w:rPr>
              <w:t>及内设</w:t>
            </w:r>
          </w:p>
          <w:p w14:paraId="6F87F075">
            <w:pPr>
              <w:pStyle w:val="4"/>
              <w:overflowPunct w:val="0"/>
              <w:spacing w:line="360" w:lineRule="auto"/>
              <w:ind w:firstLine="0"/>
              <w:rPr>
                <w:rFonts w:ascii="宋体" w:hAnsi="宋体"/>
                <w:color w:val="auto"/>
                <w:highlight w:val="none"/>
                <w:lang w:eastAsia="zh-CN"/>
              </w:rPr>
            </w:pPr>
            <w:r>
              <w:rPr>
                <w:rFonts w:ascii="宋体" w:hAnsi="宋体"/>
                <w:color w:val="auto"/>
                <w:highlight w:val="none"/>
                <w:lang w:eastAsia="zh-CN"/>
              </w:rPr>
              <w:t>机构情况</w:t>
            </w:r>
          </w:p>
        </w:tc>
        <w:tc>
          <w:tcPr>
            <w:tcW w:w="7508" w:type="dxa"/>
            <w:gridSpan w:val="3"/>
            <w:vAlign w:val="center"/>
          </w:tcPr>
          <w:p w14:paraId="4D20B4F6">
            <w:pPr>
              <w:pStyle w:val="4"/>
              <w:overflowPunct w:val="0"/>
              <w:spacing w:line="360" w:lineRule="auto"/>
              <w:ind w:firstLine="0"/>
              <w:rPr>
                <w:rFonts w:ascii="宋体" w:hAnsi="宋体"/>
                <w:color w:val="auto"/>
                <w:highlight w:val="none"/>
                <w:lang w:eastAsia="zh-CN"/>
              </w:rPr>
            </w:pPr>
          </w:p>
        </w:tc>
      </w:tr>
      <w:tr w14:paraId="635E2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2676" w:hRule="atLeast"/>
        </w:trPr>
        <w:tc>
          <w:tcPr>
            <w:tcW w:w="2415" w:type="dxa"/>
            <w:vAlign w:val="center"/>
          </w:tcPr>
          <w:p w14:paraId="5B306553">
            <w:pPr>
              <w:pStyle w:val="4"/>
              <w:overflowPunct w:val="0"/>
              <w:spacing w:line="360" w:lineRule="auto"/>
              <w:ind w:firstLine="0"/>
              <w:rPr>
                <w:rFonts w:ascii="宋体" w:hAnsi="宋体"/>
                <w:color w:val="auto"/>
                <w:highlight w:val="none"/>
              </w:rPr>
            </w:pPr>
            <w:r>
              <w:rPr>
                <w:rFonts w:ascii="宋体" w:hAnsi="宋体"/>
                <w:color w:val="auto"/>
                <w:highlight w:val="none"/>
              </w:rPr>
              <w:t>单位优势及特长</w:t>
            </w:r>
          </w:p>
        </w:tc>
        <w:tc>
          <w:tcPr>
            <w:tcW w:w="7508" w:type="dxa"/>
            <w:gridSpan w:val="3"/>
            <w:vAlign w:val="center"/>
          </w:tcPr>
          <w:p w14:paraId="6AABFEE3">
            <w:pPr>
              <w:pStyle w:val="4"/>
              <w:overflowPunct w:val="0"/>
              <w:spacing w:line="360" w:lineRule="auto"/>
              <w:ind w:firstLine="0"/>
              <w:rPr>
                <w:rFonts w:ascii="宋体" w:hAnsi="宋体"/>
                <w:color w:val="auto"/>
                <w:highlight w:val="none"/>
              </w:rPr>
            </w:pPr>
          </w:p>
        </w:tc>
      </w:tr>
      <w:tr w14:paraId="3A79DD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688" w:hRule="atLeast"/>
        </w:trPr>
        <w:tc>
          <w:tcPr>
            <w:tcW w:w="9923" w:type="dxa"/>
            <w:gridSpan w:val="4"/>
            <w:vAlign w:val="center"/>
          </w:tcPr>
          <w:p w14:paraId="2EF9A69F">
            <w:pPr>
              <w:pStyle w:val="4"/>
              <w:overflowPunct w:val="0"/>
              <w:spacing w:line="360" w:lineRule="auto"/>
              <w:ind w:firstLine="0"/>
              <w:rPr>
                <w:rFonts w:ascii="宋体" w:hAnsi="宋体"/>
                <w:color w:val="auto"/>
                <w:highlight w:val="none"/>
                <w:lang w:eastAsia="zh-CN"/>
              </w:rPr>
            </w:pPr>
            <w:r>
              <w:rPr>
                <w:rFonts w:ascii="宋体" w:hAnsi="宋体"/>
                <w:color w:val="auto"/>
                <w:highlight w:val="none"/>
                <w:lang w:eastAsia="zh-CN"/>
              </w:rPr>
              <w:t>其他需要说明的情况：</w:t>
            </w:r>
          </w:p>
        </w:tc>
      </w:tr>
    </w:tbl>
    <w:p w14:paraId="70242940">
      <w:pPr>
        <w:spacing w:line="400" w:lineRule="exact"/>
        <w:rPr>
          <w:b/>
          <w:bCs/>
          <w:color w:val="auto"/>
          <w:sz w:val="24"/>
          <w:szCs w:val="24"/>
          <w:highlight w:val="none"/>
        </w:rPr>
      </w:pPr>
      <w:r>
        <w:rPr>
          <w:rFonts w:hint="eastAsia"/>
          <w:b/>
          <w:bCs/>
          <w:color w:val="auto"/>
          <w:sz w:val="24"/>
          <w:szCs w:val="24"/>
          <w:highlight w:val="none"/>
        </w:rPr>
        <w:t>法定代表人或法定代表人授权代表签字或盖章：</w:t>
      </w:r>
    </w:p>
    <w:p w14:paraId="364F714A">
      <w:pPr>
        <w:spacing w:line="400" w:lineRule="exact"/>
        <w:rPr>
          <w:b/>
          <w:bCs/>
          <w:color w:val="auto"/>
          <w:sz w:val="24"/>
          <w:szCs w:val="24"/>
          <w:highlight w:val="none"/>
        </w:rPr>
      </w:pPr>
      <w:r>
        <w:rPr>
          <w:rFonts w:hint="eastAsia" w:hAnsi="宋体"/>
          <w:color w:val="auto"/>
          <w:highlight w:val="none"/>
        </w:rPr>
        <w:t>注：上述表格须按内容要求如实填写完整。</w:t>
      </w:r>
    </w:p>
    <w:p w14:paraId="219014BF">
      <w:pPr>
        <w:spacing w:line="360" w:lineRule="auto"/>
        <w:rPr>
          <w:rFonts w:ascii="宋体" w:hAnsi="宋体"/>
          <w:bCs/>
          <w:color w:val="auto"/>
          <w:highlight w:val="none"/>
        </w:rPr>
      </w:pPr>
    </w:p>
    <w:p w14:paraId="1B0C9234">
      <w:pPr>
        <w:spacing w:line="360" w:lineRule="auto"/>
        <w:rPr>
          <w:b/>
          <w:color w:val="auto"/>
          <w:sz w:val="28"/>
          <w:szCs w:val="28"/>
          <w:highlight w:val="none"/>
        </w:rPr>
      </w:pPr>
      <w:r>
        <w:rPr>
          <w:rFonts w:hint="eastAsia"/>
          <w:b/>
          <w:color w:val="auto"/>
          <w:sz w:val="28"/>
          <w:szCs w:val="28"/>
          <w:highlight w:val="none"/>
        </w:rPr>
        <w:t>八</w:t>
      </w:r>
      <w:r>
        <w:rPr>
          <w:b/>
          <w:color w:val="auto"/>
          <w:sz w:val="28"/>
          <w:szCs w:val="28"/>
          <w:highlight w:val="none"/>
        </w:rPr>
        <w:t>、</w:t>
      </w:r>
      <w:r>
        <w:rPr>
          <w:rFonts w:hint="eastAsia"/>
          <w:b/>
          <w:color w:val="auto"/>
          <w:sz w:val="28"/>
          <w:szCs w:val="28"/>
          <w:highlight w:val="none"/>
        </w:rPr>
        <w:t>响应偏离表（给定格式）：</w:t>
      </w:r>
    </w:p>
    <w:p w14:paraId="6F73268A">
      <w:pPr>
        <w:ind w:firstLine="490"/>
        <w:jc w:val="center"/>
        <w:outlineLvl w:val="0"/>
        <w:rPr>
          <w:rFonts w:ascii="黑体" w:eastAsia="黑体"/>
          <w:bCs/>
          <w:color w:val="auto"/>
          <w:sz w:val="28"/>
          <w:szCs w:val="28"/>
          <w:highlight w:val="none"/>
        </w:rPr>
      </w:pPr>
    </w:p>
    <w:p w14:paraId="7236E64C">
      <w:pPr>
        <w:ind w:firstLine="490"/>
        <w:jc w:val="center"/>
        <w:outlineLvl w:val="0"/>
        <w:rPr>
          <w:rFonts w:ascii="黑体" w:eastAsia="黑体"/>
          <w:bCs/>
          <w:color w:val="auto"/>
          <w:sz w:val="28"/>
          <w:szCs w:val="28"/>
          <w:highlight w:val="none"/>
        </w:rPr>
      </w:pPr>
      <w:r>
        <w:rPr>
          <w:rFonts w:hint="eastAsia" w:ascii="黑体" w:eastAsia="黑体"/>
          <w:bCs/>
          <w:color w:val="auto"/>
          <w:sz w:val="28"/>
          <w:szCs w:val="28"/>
          <w:highlight w:val="none"/>
        </w:rPr>
        <w:t>响应偏离表</w:t>
      </w:r>
    </w:p>
    <w:p w14:paraId="6E060C73">
      <w:pPr>
        <w:spacing w:line="400" w:lineRule="exact"/>
        <w:jc w:val="center"/>
        <w:outlineLvl w:val="0"/>
        <w:rPr>
          <w:rFonts w:ascii="黑体" w:eastAsia="黑体"/>
          <w:bCs/>
          <w:color w:val="auto"/>
          <w:sz w:val="28"/>
          <w:szCs w:val="28"/>
          <w:highlight w:val="none"/>
        </w:rPr>
      </w:pPr>
    </w:p>
    <w:p w14:paraId="1ED655DB">
      <w:pPr>
        <w:spacing w:line="400" w:lineRule="exact"/>
        <w:jc w:val="center"/>
        <w:outlineLvl w:val="0"/>
        <w:rPr>
          <w:rFonts w:ascii="黑体" w:eastAsia="黑体"/>
          <w:bCs/>
          <w:color w:val="auto"/>
          <w:sz w:val="28"/>
          <w:szCs w:val="28"/>
          <w:highlight w:val="none"/>
        </w:rPr>
      </w:pPr>
    </w:p>
    <w:p w14:paraId="2141AC9C">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 </w:t>
      </w:r>
    </w:p>
    <w:tbl>
      <w:tblPr>
        <w:tblStyle w:val="48"/>
        <w:tblW w:w="8824" w:type="dxa"/>
        <w:tblInd w:w="0" w:type="dxa"/>
        <w:tblLayout w:type="fixed"/>
        <w:tblCellMar>
          <w:top w:w="0" w:type="dxa"/>
          <w:left w:w="0" w:type="dxa"/>
          <w:bottom w:w="0" w:type="dxa"/>
          <w:right w:w="0" w:type="dxa"/>
        </w:tblCellMar>
      </w:tblPr>
      <w:tblGrid>
        <w:gridCol w:w="2162"/>
        <w:gridCol w:w="2248"/>
        <w:gridCol w:w="2268"/>
        <w:gridCol w:w="2146"/>
      </w:tblGrid>
      <w:tr w14:paraId="65C47090">
        <w:tblPrEx>
          <w:tblCellMar>
            <w:top w:w="0" w:type="dxa"/>
            <w:left w:w="0" w:type="dxa"/>
            <w:bottom w:w="0" w:type="dxa"/>
            <w:right w:w="0" w:type="dxa"/>
          </w:tblCellMar>
        </w:tblPrEx>
        <w:trPr>
          <w:cantSplit/>
          <w:trHeight w:val="555" w:hRule="atLeast"/>
        </w:trPr>
        <w:tc>
          <w:tcPr>
            <w:tcW w:w="216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30E94B7B">
            <w:pPr>
              <w:jc w:val="center"/>
              <w:rPr>
                <w:rFonts w:ascii="宋体"/>
                <w:b/>
                <w:bCs/>
                <w:color w:val="auto"/>
                <w:sz w:val="24"/>
                <w:szCs w:val="24"/>
                <w:highlight w:val="none"/>
              </w:rPr>
            </w:pPr>
            <w:r>
              <w:rPr>
                <w:rFonts w:hint="eastAsia" w:ascii="宋体" w:hAnsi="宋体"/>
                <w:b/>
                <w:bCs/>
                <w:color w:val="auto"/>
                <w:sz w:val="24"/>
                <w:szCs w:val="24"/>
                <w:highlight w:val="none"/>
              </w:rPr>
              <w:t>名称</w:t>
            </w:r>
          </w:p>
        </w:tc>
        <w:tc>
          <w:tcPr>
            <w:tcW w:w="2248" w:type="dxa"/>
            <w:tcBorders>
              <w:top w:val="single" w:color="000000" w:sz="4" w:space="0"/>
              <w:left w:val="single" w:color="000000" w:sz="4" w:space="0"/>
              <w:bottom w:val="single" w:color="000000" w:sz="4" w:space="0"/>
              <w:right w:val="single" w:color="000000" w:sz="4" w:space="0"/>
            </w:tcBorders>
            <w:vAlign w:val="center"/>
          </w:tcPr>
          <w:p w14:paraId="1231362E">
            <w:pPr>
              <w:jc w:val="center"/>
              <w:rPr>
                <w:rFonts w:ascii="宋体"/>
                <w:b/>
                <w:bCs/>
                <w:color w:val="auto"/>
                <w:sz w:val="24"/>
                <w:szCs w:val="24"/>
                <w:highlight w:val="none"/>
              </w:rPr>
            </w:pPr>
            <w:r>
              <w:rPr>
                <w:rFonts w:hint="eastAsia" w:ascii="宋体" w:hAnsi="宋体"/>
                <w:b/>
                <w:bCs/>
                <w:color w:val="auto"/>
                <w:sz w:val="24"/>
                <w:szCs w:val="24"/>
                <w:highlight w:val="none"/>
              </w:rPr>
              <w:t>采购要求</w:t>
            </w:r>
          </w:p>
        </w:tc>
        <w:tc>
          <w:tcPr>
            <w:tcW w:w="2268" w:type="dxa"/>
            <w:tcBorders>
              <w:top w:val="single" w:color="000000" w:sz="4" w:space="0"/>
              <w:left w:val="single" w:color="000000" w:sz="4" w:space="0"/>
              <w:bottom w:val="single" w:color="000000" w:sz="4" w:space="0"/>
              <w:right w:val="single" w:color="000000" w:sz="4" w:space="0"/>
            </w:tcBorders>
            <w:vAlign w:val="center"/>
          </w:tcPr>
          <w:p w14:paraId="09182B49">
            <w:pPr>
              <w:jc w:val="center"/>
              <w:rPr>
                <w:rFonts w:ascii="宋体"/>
                <w:b/>
                <w:bCs/>
                <w:color w:val="auto"/>
                <w:sz w:val="24"/>
                <w:szCs w:val="24"/>
                <w:highlight w:val="none"/>
              </w:rPr>
            </w:pPr>
            <w:r>
              <w:rPr>
                <w:rFonts w:hint="eastAsia" w:ascii="宋体" w:hAnsi="宋体"/>
                <w:b/>
                <w:bCs/>
                <w:color w:val="auto"/>
                <w:sz w:val="24"/>
                <w:szCs w:val="24"/>
                <w:highlight w:val="none"/>
              </w:rPr>
              <w:t>响应情况</w:t>
            </w:r>
          </w:p>
        </w:tc>
        <w:tc>
          <w:tcPr>
            <w:tcW w:w="2146" w:type="dxa"/>
            <w:tcBorders>
              <w:top w:val="single" w:color="000000" w:sz="4" w:space="0"/>
              <w:left w:val="single" w:color="000000" w:sz="4" w:space="0"/>
              <w:bottom w:val="single" w:color="000000" w:sz="4" w:space="0"/>
              <w:right w:val="single" w:color="000000" w:sz="4" w:space="0"/>
            </w:tcBorders>
            <w:vAlign w:val="center"/>
          </w:tcPr>
          <w:p w14:paraId="2FB64EE2">
            <w:pPr>
              <w:jc w:val="center"/>
              <w:rPr>
                <w:rFonts w:ascii="宋体"/>
                <w:b/>
                <w:bCs/>
                <w:color w:val="auto"/>
                <w:sz w:val="24"/>
                <w:szCs w:val="24"/>
                <w:highlight w:val="none"/>
              </w:rPr>
            </w:pPr>
            <w:r>
              <w:rPr>
                <w:rFonts w:hint="eastAsia" w:ascii="宋体" w:hAnsi="宋体"/>
                <w:b/>
                <w:bCs/>
                <w:color w:val="auto"/>
                <w:sz w:val="24"/>
                <w:szCs w:val="24"/>
                <w:highlight w:val="none"/>
              </w:rPr>
              <w:t>偏离说明</w:t>
            </w:r>
          </w:p>
        </w:tc>
      </w:tr>
      <w:tr w14:paraId="741D1E11">
        <w:tblPrEx>
          <w:tblCellMar>
            <w:top w:w="0" w:type="dxa"/>
            <w:left w:w="0" w:type="dxa"/>
            <w:bottom w:w="0" w:type="dxa"/>
            <w:right w:w="0" w:type="dxa"/>
          </w:tblCellMar>
        </w:tblPrEx>
        <w:trPr>
          <w:cantSplit/>
          <w:trHeight w:val="510" w:hRule="atLeast"/>
        </w:trPr>
        <w:tc>
          <w:tcPr>
            <w:tcW w:w="2162"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2828A7E5">
            <w:pPr>
              <w:jc w:val="center"/>
              <w:rPr>
                <w:rFonts w:ascii="宋体"/>
                <w:bCs/>
                <w:color w:val="auto"/>
                <w:highlight w:val="none"/>
              </w:rPr>
            </w:pPr>
          </w:p>
        </w:tc>
        <w:tc>
          <w:tcPr>
            <w:tcW w:w="2248" w:type="dxa"/>
            <w:tcBorders>
              <w:top w:val="single" w:color="000000" w:sz="4" w:space="0"/>
              <w:left w:val="single" w:color="000000" w:sz="4" w:space="0"/>
              <w:bottom w:val="single" w:color="000000" w:sz="4" w:space="0"/>
              <w:right w:val="single" w:color="000000" w:sz="4" w:space="0"/>
            </w:tcBorders>
            <w:vAlign w:val="center"/>
          </w:tcPr>
          <w:p w14:paraId="0E02E84A">
            <w:pPr>
              <w:jc w:val="center"/>
              <w:rPr>
                <w:rFonts w:ascii="宋体"/>
                <w:bCs/>
                <w:color w:val="auto"/>
                <w:highlight w:val="none"/>
              </w:rPr>
            </w:pPr>
          </w:p>
        </w:tc>
        <w:tc>
          <w:tcPr>
            <w:tcW w:w="2268" w:type="dxa"/>
            <w:tcBorders>
              <w:top w:val="single" w:color="000000" w:sz="4" w:space="0"/>
              <w:left w:val="single" w:color="000000" w:sz="4" w:space="0"/>
              <w:bottom w:val="single" w:color="000000" w:sz="4" w:space="0"/>
              <w:right w:val="single" w:color="000000" w:sz="4" w:space="0"/>
            </w:tcBorders>
            <w:vAlign w:val="center"/>
          </w:tcPr>
          <w:p w14:paraId="4874102E">
            <w:pPr>
              <w:jc w:val="center"/>
              <w:rPr>
                <w:rFonts w:ascii="宋体"/>
                <w:bCs/>
                <w:color w:val="auto"/>
                <w:highlight w:val="none"/>
              </w:rPr>
            </w:pPr>
          </w:p>
        </w:tc>
        <w:tc>
          <w:tcPr>
            <w:tcW w:w="2146" w:type="dxa"/>
            <w:tcBorders>
              <w:top w:val="single" w:color="000000" w:sz="4" w:space="0"/>
              <w:left w:val="single" w:color="000000" w:sz="4" w:space="0"/>
              <w:bottom w:val="single" w:color="000000" w:sz="4" w:space="0"/>
              <w:right w:val="single" w:color="000000" w:sz="4" w:space="0"/>
            </w:tcBorders>
            <w:vAlign w:val="center"/>
          </w:tcPr>
          <w:p w14:paraId="40B1D5C5">
            <w:pPr>
              <w:jc w:val="center"/>
              <w:rPr>
                <w:rFonts w:ascii="宋体"/>
                <w:bCs/>
                <w:color w:val="auto"/>
                <w:highlight w:val="none"/>
              </w:rPr>
            </w:pPr>
          </w:p>
        </w:tc>
      </w:tr>
    </w:tbl>
    <w:p w14:paraId="717FDC77">
      <w:pPr>
        <w:rPr>
          <w:rFonts w:ascii="宋体" w:eastAsia="黑体"/>
          <w:b/>
          <w:color w:val="auto"/>
          <w:sz w:val="24"/>
          <w:szCs w:val="24"/>
          <w:highlight w:val="none"/>
        </w:rPr>
      </w:pPr>
      <w:r>
        <w:rPr>
          <w:rFonts w:hint="eastAsia" w:ascii="黑体" w:eastAsia="黑体"/>
          <w:bCs/>
          <w:color w:val="auto"/>
          <w:sz w:val="24"/>
          <w:szCs w:val="24"/>
          <w:highlight w:val="none"/>
        </w:rPr>
        <w:t>供应商名称（盖章）：</w:t>
      </w:r>
    </w:p>
    <w:p w14:paraId="633D938C">
      <w:pPr>
        <w:rPr>
          <w:rFonts w:ascii="宋体"/>
          <w:bCs/>
          <w:color w:val="auto"/>
          <w:sz w:val="30"/>
          <w:highlight w:val="none"/>
        </w:rPr>
      </w:pPr>
    </w:p>
    <w:p w14:paraId="77E343FF">
      <w:pPr>
        <w:outlineLvl w:val="0"/>
        <w:rPr>
          <w:rFonts w:ascii="宋体" w:hAnsi="宋体"/>
          <w:bCs/>
          <w:color w:val="auto"/>
          <w:sz w:val="24"/>
          <w:szCs w:val="24"/>
          <w:highlight w:val="none"/>
        </w:rPr>
      </w:pPr>
      <w:r>
        <w:rPr>
          <w:rFonts w:hint="eastAsia" w:ascii="宋体" w:hAnsi="宋体"/>
          <w:bCs/>
          <w:color w:val="auto"/>
          <w:sz w:val="24"/>
          <w:szCs w:val="24"/>
          <w:highlight w:val="none"/>
        </w:rPr>
        <w:t>注：（</w:t>
      </w:r>
      <w:r>
        <w:rPr>
          <w:rFonts w:ascii="宋体" w:hAnsi="宋体"/>
          <w:bCs/>
          <w:color w:val="auto"/>
          <w:sz w:val="24"/>
          <w:szCs w:val="24"/>
          <w:highlight w:val="none"/>
        </w:rPr>
        <w:t>1</w:t>
      </w:r>
      <w:r>
        <w:rPr>
          <w:rFonts w:hint="eastAsia" w:ascii="宋体" w:hAnsi="宋体"/>
          <w:bCs/>
          <w:color w:val="auto"/>
          <w:sz w:val="24"/>
          <w:szCs w:val="24"/>
          <w:highlight w:val="none"/>
        </w:rPr>
        <w:t>）本表不得删除。</w:t>
      </w:r>
    </w:p>
    <w:p w14:paraId="4A48F2D1">
      <w:pPr>
        <w:ind w:firstLine="480" w:firstLineChars="200"/>
        <w:outlineLvl w:val="0"/>
        <w:rPr>
          <w:rFonts w:ascii="宋体" w:hAnsi="宋体"/>
          <w:bCs/>
          <w:color w:val="auto"/>
          <w:sz w:val="24"/>
          <w:szCs w:val="24"/>
          <w:highlight w:val="none"/>
        </w:rPr>
      </w:pPr>
      <w:r>
        <w:rPr>
          <w:rFonts w:hint="eastAsia" w:ascii="宋体" w:hAnsi="宋体"/>
          <w:bCs/>
          <w:color w:val="auto"/>
          <w:sz w:val="24"/>
          <w:szCs w:val="24"/>
          <w:highlight w:val="none"/>
        </w:rPr>
        <w:t>（</w:t>
      </w:r>
      <w:r>
        <w:rPr>
          <w:rFonts w:ascii="宋体" w:hAnsi="宋体"/>
          <w:bCs/>
          <w:color w:val="auto"/>
          <w:sz w:val="24"/>
          <w:szCs w:val="24"/>
          <w:highlight w:val="none"/>
        </w:rPr>
        <w:t>2</w:t>
      </w:r>
      <w:r>
        <w:rPr>
          <w:rFonts w:hint="eastAsia" w:ascii="宋体" w:hAnsi="宋体"/>
          <w:bCs/>
          <w:color w:val="auto"/>
          <w:sz w:val="24"/>
          <w:szCs w:val="24"/>
          <w:highlight w:val="none"/>
        </w:rPr>
        <w:t>）对本征集文件中所有采购需求如无任何偏离情况，请于本表“响应情况”中注明“响应”，于“偏离情况”中注明“无偏离”。</w:t>
      </w:r>
    </w:p>
    <w:p w14:paraId="647D45F9">
      <w:pPr>
        <w:ind w:firstLine="420" w:firstLineChars="175"/>
        <w:outlineLvl w:val="0"/>
        <w:rPr>
          <w:rFonts w:ascii="宋体" w:hAnsi="宋体"/>
          <w:bCs/>
          <w:color w:val="auto"/>
          <w:sz w:val="24"/>
          <w:szCs w:val="24"/>
          <w:highlight w:val="none"/>
        </w:rPr>
      </w:pPr>
      <w:r>
        <w:rPr>
          <w:rFonts w:hint="eastAsia" w:ascii="宋体" w:hAnsi="宋体"/>
          <w:bCs/>
          <w:color w:val="auto"/>
          <w:sz w:val="24"/>
          <w:szCs w:val="24"/>
          <w:highlight w:val="none"/>
        </w:rPr>
        <w:t>（3）</w:t>
      </w:r>
      <w:bookmarkEnd w:id="242"/>
      <w:bookmarkEnd w:id="243"/>
      <w:bookmarkEnd w:id="282"/>
      <w:bookmarkStart w:id="285" w:name="_Hlt26609389"/>
      <w:bookmarkEnd w:id="285"/>
      <w:bookmarkStart w:id="286" w:name="_格式2__法定代表人授权书"/>
      <w:bookmarkEnd w:id="286"/>
      <w:bookmarkStart w:id="287" w:name="_Hlt26955066"/>
      <w:bookmarkEnd w:id="287"/>
      <w:bookmarkStart w:id="288" w:name="_Hlt26671374"/>
      <w:bookmarkEnd w:id="288"/>
      <w:r>
        <w:rPr>
          <w:rFonts w:hint="eastAsia" w:ascii="宋体" w:hAnsi="宋体"/>
          <w:bCs/>
          <w:color w:val="auto"/>
          <w:sz w:val="24"/>
          <w:szCs w:val="24"/>
          <w:highlight w:val="none"/>
        </w:rPr>
        <w:t>如有偏离项，请于本表“响应情况”中写明实报内容，于“偏离情况”中注明实际偏离情况（比如“正偏离”），本项目采购需求均不接受负偏离。其余无偏离内容不须赘述。</w:t>
      </w:r>
    </w:p>
    <w:p w14:paraId="35DC3BB5">
      <w:pPr>
        <w:ind w:firstLine="420"/>
        <w:outlineLvl w:val="0"/>
        <w:rPr>
          <w:rFonts w:ascii="宋体" w:hAnsi="宋体"/>
          <w:bCs/>
          <w:color w:val="auto"/>
          <w:sz w:val="24"/>
          <w:szCs w:val="24"/>
          <w:highlight w:val="none"/>
        </w:rPr>
      </w:pPr>
      <w:r>
        <w:rPr>
          <w:rFonts w:hint="eastAsia" w:ascii="宋体" w:hAnsi="宋体"/>
          <w:bCs/>
          <w:color w:val="auto"/>
          <w:sz w:val="24"/>
          <w:szCs w:val="24"/>
          <w:highlight w:val="none"/>
        </w:rPr>
        <w:t>（4）表格不够可自行延长。</w:t>
      </w:r>
    </w:p>
    <w:p w14:paraId="485CB819">
      <w:pPr>
        <w:pStyle w:val="271"/>
        <w:rPr>
          <w:bCs/>
          <w:color w:val="auto"/>
          <w:sz w:val="24"/>
          <w:szCs w:val="24"/>
          <w:highlight w:val="none"/>
        </w:rPr>
      </w:pPr>
    </w:p>
    <w:p w14:paraId="25FA2C2F">
      <w:pPr>
        <w:pStyle w:val="271"/>
        <w:rPr>
          <w:bCs/>
          <w:color w:val="auto"/>
          <w:sz w:val="24"/>
          <w:szCs w:val="24"/>
          <w:highlight w:val="none"/>
        </w:rPr>
      </w:pPr>
    </w:p>
    <w:p w14:paraId="41818AF0">
      <w:pPr>
        <w:pStyle w:val="271"/>
        <w:rPr>
          <w:bCs/>
          <w:color w:val="auto"/>
          <w:sz w:val="24"/>
          <w:szCs w:val="24"/>
          <w:highlight w:val="none"/>
        </w:rPr>
      </w:pPr>
    </w:p>
    <w:p w14:paraId="466E36C8">
      <w:pPr>
        <w:pStyle w:val="271"/>
        <w:rPr>
          <w:bCs/>
          <w:color w:val="auto"/>
          <w:sz w:val="24"/>
          <w:szCs w:val="24"/>
          <w:highlight w:val="none"/>
        </w:rPr>
      </w:pPr>
    </w:p>
    <w:p w14:paraId="3483C084">
      <w:pPr>
        <w:pStyle w:val="271"/>
        <w:rPr>
          <w:bCs/>
          <w:color w:val="auto"/>
          <w:sz w:val="24"/>
          <w:szCs w:val="24"/>
          <w:highlight w:val="none"/>
        </w:rPr>
      </w:pPr>
    </w:p>
    <w:p w14:paraId="544AC253">
      <w:pPr>
        <w:pStyle w:val="271"/>
        <w:rPr>
          <w:bCs/>
          <w:color w:val="auto"/>
          <w:sz w:val="24"/>
          <w:szCs w:val="24"/>
          <w:highlight w:val="none"/>
        </w:rPr>
      </w:pPr>
    </w:p>
    <w:p w14:paraId="54272380">
      <w:pPr>
        <w:pStyle w:val="271"/>
        <w:rPr>
          <w:bCs/>
          <w:color w:val="auto"/>
          <w:sz w:val="24"/>
          <w:szCs w:val="24"/>
          <w:highlight w:val="none"/>
        </w:rPr>
      </w:pPr>
    </w:p>
    <w:p w14:paraId="383E3CD5">
      <w:pPr>
        <w:pStyle w:val="271"/>
        <w:rPr>
          <w:bCs/>
          <w:color w:val="auto"/>
          <w:sz w:val="24"/>
          <w:szCs w:val="24"/>
          <w:highlight w:val="none"/>
        </w:rPr>
      </w:pPr>
    </w:p>
    <w:p w14:paraId="6668B8E6">
      <w:pPr>
        <w:pStyle w:val="271"/>
        <w:rPr>
          <w:bCs/>
          <w:color w:val="auto"/>
          <w:sz w:val="24"/>
          <w:szCs w:val="24"/>
          <w:highlight w:val="none"/>
        </w:rPr>
      </w:pPr>
    </w:p>
    <w:p w14:paraId="0EA2059E">
      <w:pPr>
        <w:pStyle w:val="271"/>
        <w:rPr>
          <w:bCs/>
          <w:color w:val="auto"/>
          <w:sz w:val="24"/>
          <w:szCs w:val="24"/>
          <w:highlight w:val="none"/>
        </w:rPr>
      </w:pPr>
    </w:p>
    <w:p w14:paraId="12C9D828">
      <w:pPr>
        <w:pStyle w:val="271"/>
        <w:rPr>
          <w:bCs/>
          <w:color w:val="auto"/>
          <w:sz w:val="24"/>
          <w:szCs w:val="24"/>
          <w:highlight w:val="none"/>
        </w:rPr>
      </w:pPr>
    </w:p>
    <w:p w14:paraId="138F697B">
      <w:pPr>
        <w:pStyle w:val="271"/>
        <w:rPr>
          <w:bCs/>
          <w:color w:val="auto"/>
          <w:sz w:val="24"/>
          <w:szCs w:val="24"/>
          <w:highlight w:val="none"/>
        </w:rPr>
      </w:pPr>
    </w:p>
    <w:p w14:paraId="17F401A8">
      <w:pPr>
        <w:pStyle w:val="271"/>
        <w:rPr>
          <w:bCs/>
          <w:color w:val="auto"/>
          <w:sz w:val="24"/>
          <w:szCs w:val="24"/>
          <w:highlight w:val="none"/>
        </w:rPr>
      </w:pPr>
    </w:p>
    <w:p w14:paraId="1A52F9B6">
      <w:pPr>
        <w:pStyle w:val="271"/>
        <w:rPr>
          <w:bCs/>
          <w:color w:val="auto"/>
          <w:sz w:val="24"/>
          <w:szCs w:val="24"/>
          <w:highlight w:val="none"/>
        </w:rPr>
      </w:pPr>
    </w:p>
    <w:p w14:paraId="010654C2">
      <w:pPr>
        <w:pStyle w:val="271"/>
        <w:rPr>
          <w:bCs/>
          <w:color w:val="auto"/>
          <w:sz w:val="24"/>
          <w:szCs w:val="24"/>
          <w:highlight w:val="none"/>
        </w:rPr>
      </w:pPr>
    </w:p>
    <w:p w14:paraId="554E6BF1">
      <w:pPr>
        <w:pStyle w:val="271"/>
        <w:rPr>
          <w:bCs/>
          <w:color w:val="auto"/>
          <w:sz w:val="24"/>
          <w:szCs w:val="24"/>
          <w:highlight w:val="none"/>
        </w:rPr>
      </w:pPr>
    </w:p>
    <w:p w14:paraId="3FC7B816">
      <w:pPr>
        <w:spacing w:line="360" w:lineRule="auto"/>
        <w:rPr>
          <w:b/>
          <w:color w:val="auto"/>
          <w:sz w:val="28"/>
          <w:szCs w:val="28"/>
          <w:highlight w:val="none"/>
        </w:rPr>
      </w:pPr>
      <w:r>
        <w:rPr>
          <w:rFonts w:hint="eastAsia"/>
          <w:b/>
          <w:color w:val="auto"/>
          <w:sz w:val="28"/>
          <w:szCs w:val="28"/>
          <w:highlight w:val="none"/>
        </w:rPr>
        <w:t>九、《采购需求》中要求提供的证明材料：</w:t>
      </w:r>
    </w:p>
    <w:p w14:paraId="729ADE79">
      <w:pPr>
        <w:jc w:val="center"/>
        <w:rPr>
          <w:rFonts w:ascii="仿宋" w:hAnsi="仿宋" w:eastAsia="仿宋" w:cs="宋体"/>
          <w:b/>
          <w:color w:val="auto"/>
          <w:sz w:val="32"/>
          <w:szCs w:val="32"/>
          <w:highlight w:val="none"/>
        </w:rPr>
      </w:pPr>
      <w:bookmarkStart w:id="289" w:name="OLE_LINK205"/>
      <w:r>
        <w:rPr>
          <w:rFonts w:hint="eastAsia" w:ascii="仿宋" w:hAnsi="仿宋" w:eastAsia="仿宋" w:cs="宋体"/>
          <w:b/>
          <w:color w:val="auto"/>
          <w:sz w:val="32"/>
          <w:szCs w:val="32"/>
          <w:highlight w:val="none"/>
        </w:rPr>
        <w:t>（采购包一）视力残疾儿童基本康复训练</w:t>
      </w:r>
    </w:p>
    <w:p w14:paraId="3A55CC22">
      <w:pPr>
        <w:rPr>
          <w:rFonts w:ascii="仿宋" w:hAnsi="仿宋" w:eastAsia="仿宋" w:cs="宋体"/>
          <w:b/>
          <w:color w:val="auto"/>
          <w:sz w:val="32"/>
          <w:szCs w:val="32"/>
          <w:highlight w:val="none"/>
        </w:rPr>
      </w:pPr>
      <w:r>
        <w:rPr>
          <w:rFonts w:hint="eastAsia" w:ascii="黑体" w:eastAsia="黑体"/>
          <w:bCs/>
          <w:color w:val="auto"/>
          <w:sz w:val="24"/>
          <w:szCs w:val="24"/>
          <w:highlight w:val="none"/>
        </w:rPr>
        <w:t xml:space="preserve">申请人名称（盖章）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ascii="黑体" w:eastAsia="黑体"/>
          <w:bCs/>
          <w:color w:val="auto"/>
          <w:sz w:val="24"/>
          <w:szCs w:val="24"/>
          <w:highlight w:val="none"/>
        </w:rPr>
        <w:t xml:space="preserve"> </w:t>
      </w:r>
    </w:p>
    <w:tbl>
      <w:tblPr>
        <w:tblStyle w:val="48"/>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826"/>
        <w:gridCol w:w="2555"/>
        <w:gridCol w:w="1275"/>
      </w:tblGrid>
      <w:tr w14:paraId="4FD11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526" w:type="dxa"/>
            <w:vAlign w:val="center"/>
          </w:tcPr>
          <w:p w14:paraId="0884F7B7">
            <w:pPr>
              <w:rPr>
                <w:rFonts w:ascii="宋体" w:hAnsi="宋体"/>
                <w:color w:val="auto"/>
                <w:highlight w:val="none"/>
              </w:rPr>
            </w:pPr>
            <w:r>
              <w:rPr>
                <w:rFonts w:ascii="宋体" w:hAnsi="宋体"/>
                <w:color w:val="auto"/>
                <w:highlight w:val="none"/>
              </w:rPr>
              <w:t>采购</w:t>
            </w:r>
            <w:r>
              <w:rPr>
                <w:rFonts w:hint="eastAsia" w:ascii="宋体" w:hAnsi="宋体"/>
                <w:color w:val="auto"/>
                <w:highlight w:val="none"/>
              </w:rPr>
              <w:t>需求</w:t>
            </w:r>
          </w:p>
        </w:tc>
        <w:tc>
          <w:tcPr>
            <w:tcW w:w="3826" w:type="dxa"/>
            <w:vAlign w:val="center"/>
          </w:tcPr>
          <w:p w14:paraId="701FE645">
            <w:pPr>
              <w:rPr>
                <w:rFonts w:ascii="宋体" w:hAnsi="宋体"/>
                <w:color w:val="auto"/>
                <w:highlight w:val="none"/>
              </w:rPr>
            </w:pPr>
            <w:r>
              <w:rPr>
                <w:rFonts w:hint="eastAsia" w:ascii="宋体" w:hAnsi="宋体"/>
                <w:color w:val="auto"/>
                <w:highlight w:val="none"/>
              </w:rPr>
              <w:t>详细要求</w:t>
            </w:r>
          </w:p>
        </w:tc>
        <w:tc>
          <w:tcPr>
            <w:tcW w:w="2555" w:type="dxa"/>
            <w:vAlign w:val="center"/>
          </w:tcPr>
          <w:p w14:paraId="12D1C727">
            <w:pPr>
              <w:rPr>
                <w:rFonts w:ascii="宋体" w:hAnsi="宋体"/>
                <w:color w:val="auto"/>
                <w:highlight w:val="none"/>
              </w:rPr>
            </w:pPr>
            <w:r>
              <w:rPr>
                <w:rFonts w:hint="eastAsia" w:ascii="宋体" w:hAnsi="宋体"/>
                <w:color w:val="auto"/>
                <w:highlight w:val="none"/>
              </w:rPr>
              <w:t>证明材料</w:t>
            </w:r>
          </w:p>
        </w:tc>
        <w:tc>
          <w:tcPr>
            <w:tcW w:w="1275" w:type="dxa"/>
            <w:vAlign w:val="center"/>
          </w:tcPr>
          <w:p w14:paraId="14D1CDCE">
            <w:pPr>
              <w:rPr>
                <w:rFonts w:ascii="宋体" w:hAnsi="宋体"/>
                <w:color w:val="auto"/>
                <w:highlight w:val="none"/>
              </w:rPr>
            </w:pPr>
            <w:r>
              <w:rPr>
                <w:rFonts w:hint="eastAsia" w:ascii="宋体" w:hAnsi="宋体"/>
                <w:color w:val="auto"/>
                <w:highlight w:val="none"/>
              </w:rPr>
              <w:t>证明材料（有/无）</w:t>
            </w:r>
          </w:p>
        </w:tc>
      </w:tr>
      <w:tr w14:paraId="76DF7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526" w:type="dxa"/>
            <w:vMerge w:val="restart"/>
            <w:vAlign w:val="center"/>
          </w:tcPr>
          <w:p w14:paraId="23B41654">
            <w:pPr>
              <w:rPr>
                <w:rFonts w:ascii="宋体" w:hAnsi="宋体"/>
                <w:color w:val="auto"/>
                <w:highlight w:val="none"/>
              </w:rPr>
            </w:pPr>
            <w:r>
              <w:rPr>
                <w:rFonts w:hint="eastAsia" w:ascii="宋体" w:hAnsi="宋体"/>
                <w:color w:val="auto"/>
                <w:highlight w:val="none"/>
              </w:rPr>
              <w:t>1</w:t>
            </w:r>
            <w:r>
              <w:rPr>
                <w:rFonts w:ascii="宋体" w:hAnsi="宋体"/>
                <w:color w:val="auto"/>
                <w:highlight w:val="none"/>
              </w:rPr>
              <w:t>.</w:t>
            </w:r>
            <w:r>
              <w:rPr>
                <w:rFonts w:hint="eastAsia" w:ascii="宋体" w:hAnsi="宋体"/>
                <w:color w:val="auto"/>
                <w:highlight w:val="none"/>
              </w:rPr>
              <w:t>建设要求</w:t>
            </w:r>
          </w:p>
        </w:tc>
        <w:tc>
          <w:tcPr>
            <w:tcW w:w="3826" w:type="dxa"/>
            <w:vAlign w:val="center"/>
          </w:tcPr>
          <w:p w14:paraId="4EC95CE5">
            <w:pPr>
              <w:rPr>
                <w:rFonts w:ascii="宋体" w:hAnsi="宋体"/>
                <w:color w:val="auto"/>
                <w:highlight w:val="none"/>
              </w:rPr>
            </w:pPr>
            <w:r>
              <w:rPr>
                <w:rFonts w:hint="eastAsia" w:ascii="宋体" w:hAnsi="宋体"/>
                <w:color w:val="auto"/>
                <w:highlight w:val="none"/>
              </w:rPr>
              <w:t>本地</w:t>
            </w:r>
            <w:r>
              <w:rPr>
                <w:rFonts w:ascii="宋体" w:hAnsi="宋体"/>
                <w:color w:val="auto"/>
                <w:highlight w:val="none"/>
              </w:rPr>
              <w:t>训练场所</w:t>
            </w:r>
            <w:r>
              <w:rPr>
                <w:rFonts w:hint="eastAsia" w:ascii="宋体" w:hAnsi="宋体"/>
                <w:color w:val="auto"/>
                <w:highlight w:val="none"/>
              </w:rPr>
              <w:t>总建筑面积不少于80平方米</w:t>
            </w:r>
          </w:p>
        </w:tc>
        <w:tc>
          <w:tcPr>
            <w:tcW w:w="2555" w:type="dxa"/>
            <w:vMerge w:val="restart"/>
            <w:vAlign w:val="center"/>
          </w:tcPr>
          <w:p w14:paraId="1DFDA8DE">
            <w:pPr>
              <w:rPr>
                <w:rFonts w:ascii="宋体" w:hAnsi="宋体"/>
                <w:color w:val="auto"/>
                <w:highlight w:val="none"/>
              </w:rPr>
            </w:pPr>
            <w:r>
              <w:rPr>
                <w:rFonts w:hint="eastAsia" w:ascii="宋体" w:hAnsi="宋体"/>
                <w:color w:val="auto"/>
                <w:highlight w:val="none"/>
              </w:rPr>
              <w:t>提供房产证或租赁协议，若为租赁协议另需提供房主房产证或其他有效的产权证明，外部环境和内部场所照片及介绍文字</w:t>
            </w:r>
          </w:p>
        </w:tc>
        <w:tc>
          <w:tcPr>
            <w:tcW w:w="1275" w:type="dxa"/>
            <w:vAlign w:val="center"/>
          </w:tcPr>
          <w:p w14:paraId="274400CD">
            <w:pPr>
              <w:rPr>
                <w:rFonts w:ascii="宋体" w:hAnsi="宋体"/>
                <w:color w:val="auto"/>
                <w:highlight w:val="none"/>
              </w:rPr>
            </w:pPr>
          </w:p>
        </w:tc>
      </w:tr>
      <w:tr w14:paraId="14351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526" w:type="dxa"/>
            <w:vMerge w:val="continue"/>
            <w:vAlign w:val="center"/>
          </w:tcPr>
          <w:p w14:paraId="76A9FF03">
            <w:pPr>
              <w:rPr>
                <w:rFonts w:ascii="宋体" w:hAnsi="宋体"/>
                <w:color w:val="auto"/>
                <w:highlight w:val="none"/>
              </w:rPr>
            </w:pPr>
          </w:p>
        </w:tc>
        <w:tc>
          <w:tcPr>
            <w:tcW w:w="3826" w:type="dxa"/>
            <w:vAlign w:val="center"/>
          </w:tcPr>
          <w:p w14:paraId="72A90E0C">
            <w:pPr>
              <w:rPr>
                <w:rFonts w:ascii="宋体" w:hAnsi="宋体"/>
                <w:color w:val="auto"/>
                <w:highlight w:val="none"/>
              </w:rPr>
            </w:pPr>
            <w:r>
              <w:rPr>
                <w:rFonts w:hint="eastAsia" w:ascii="宋体" w:hAnsi="宋体"/>
                <w:color w:val="auto"/>
                <w:highlight w:val="none"/>
              </w:rPr>
              <w:t>业务用房</w:t>
            </w:r>
            <w:bookmarkStart w:id="290" w:name="OLE_LINK143"/>
            <w:bookmarkStart w:id="291" w:name="OLE_LINK142"/>
            <w:r>
              <w:rPr>
                <w:rFonts w:hint="eastAsia" w:ascii="宋体" w:hAnsi="宋体"/>
                <w:color w:val="auto"/>
                <w:highlight w:val="none"/>
              </w:rPr>
              <w:t>不少于48平方米</w:t>
            </w:r>
            <w:bookmarkEnd w:id="290"/>
            <w:bookmarkEnd w:id="291"/>
          </w:p>
        </w:tc>
        <w:tc>
          <w:tcPr>
            <w:tcW w:w="2555" w:type="dxa"/>
            <w:vMerge w:val="continue"/>
            <w:vAlign w:val="center"/>
          </w:tcPr>
          <w:p w14:paraId="5A8CDB38">
            <w:pPr>
              <w:rPr>
                <w:rFonts w:ascii="宋体" w:hAnsi="宋体"/>
                <w:color w:val="auto"/>
                <w:highlight w:val="none"/>
              </w:rPr>
            </w:pPr>
          </w:p>
        </w:tc>
        <w:tc>
          <w:tcPr>
            <w:tcW w:w="1275" w:type="dxa"/>
            <w:vAlign w:val="center"/>
          </w:tcPr>
          <w:p w14:paraId="68C2CCBB">
            <w:pPr>
              <w:rPr>
                <w:rFonts w:ascii="宋体" w:hAnsi="宋体"/>
                <w:color w:val="auto"/>
                <w:highlight w:val="none"/>
              </w:rPr>
            </w:pPr>
          </w:p>
        </w:tc>
      </w:tr>
      <w:tr w14:paraId="587DC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526" w:type="dxa"/>
            <w:vMerge w:val="continue"/>
            <w:vAlign w:val="center"/>
          </w:tcPr>
          <w:p w14:paraId="53ADDE6E">
            <w:pPr>
              <w:rPr>
                <w:rFonts w:ascii="宋体" w:hAnsi="宋体"/>
                <w:color w:val="auto"/>
                <w:highlight w:val="none"/>
              </w:rPr>
            </w:pPr>
          </w:p>
        </w:tc>
        <w:tc>
          <w:tcPr>
            <w:tcW w:w="3826" w:type="dxa"/>
            <w:vAlign w:val="center"/>
          </w:tcPr>
          <w:p w14:paraId="503B144D">
            <w:pPr>
              <w:rPr>
                <w:rFonts w:ascii="宋体" w:hAnsi="宋体"/>
                <w:color w:val="auto"/>
                <w:highlight w:val="none"/>
              </w:rPr>
            </w:pPr>
            <w:r>
              <w:rPr>
                <w:rFonts w:hint="eastAsia" w:ascii="宋体" w:hAnsi="宋体"/>
                <w:color w:val="auto"/>
                <w:highlight w:val="none"/>
              </w:rPr>
              <w:t>在三层及以下的非地下室，符合国家无障碍通行要求</w:t>
            </w:r>
          </w:p>
        </w:tc>
        <w:tc>
          <w:tcPr>
            <w:tcW w:w="2555" w:type="dxa"/>
            <w:vMerge w:val="continue"/>
            <w:vAlign w:val="center"/>
          </w:tcPr>
          <w:p w14:paraId="0586AEDC">
            <w:pPr>
              <w:rPr>
                <w:rFonts w:ascii="宋体" w:hAnsi="宋体"/>
                <w:color w:val="auto"/>
                <w:highlight w:val="none"/>
              </w:rPr>
            </w:pPr>
          </w:p>
        </w:tc>
        <w:tc>
          <w:tcPr>
            <w:tcW w:w="1275" w:type="dxa"/>
            <w:vAlign w:val="center"/>
          </w:tcPr>
          <w:p w14:paraId="1AEEDC15">
            <w:pPr>
              <w:rPr>
                <w:rFonts w:ascii="宋体" w:hAnsi="宋体"/>
                <w:color w:val="auto"/>
                <w:highlight w:val="none"/>
              </w:rPr>
            </w:pPr>
          </w:p>
        </w:tc>
      </w:tr>
      <w:tr w14:paraId="11CD0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526" w:type="dxa"/>
            <w:vMerge w:val="restart"/>
            <w:vAlign w:val="center"/>
          </w:tcPr>
          <w:p w14:paraId="6B5E75B8">
            <w:pPr>
              <w:rPr>
                <w:rFonts w:ascii="宋体" w:hAnsi="宋体"/>
                <w:color w:val="auto"/>
                <w:highlight w:val="none"/>
              </w:rPr>
            </w:pPr>
            <w:r>
              <w:rPr>
                <w:rFonts w:hint="eastAsia" w:ascii="宋体" w:hAnsi="宋体"/>
                <w:color w:val="auto"/>
                <w:highlight w:val="none"/>
              </w:rPr>
              <w:t>2</w:t>
            </w:r>
            <w:r>
              <w:rPr>
                <w:rFonts w:ascii="宋体" w:hAnsi="宋体"/>
                <w:color w:val="auto"/>
                <w:highlight w:val="none"/>
              </w:rPr>
              <w:t>.</w:t>
            </w:r>
            <w:r>
              <w:rPr>
                <w:rFonts w:hint="eastAsia" w:ascii="宋体" w:hAnsi="宋体"/>
                <w:color w:val="auto"/>
                <w:highlight w:val="none"/>
              </w:rPr>
              <w:t>训练场地</w:t>
            </w:r>
          </w:p>
        </w:tc>
        <w:tc>
          <w:tcPr>
            <w:tcW w:w="3826" w:type="dxa"/>
            <w:vAlign w:val="center"/>
          </w:tcPr>
          <w:p w14:paraId="21D71433">
            <w:pPr>
              <w:rPr>
                <w:rFonts w:ascii="宋体" w:hAnsi="宋体"/>
                <w:color w:val="auto"/>
                <w:highlight w:val="none"/>
              </w:rPr>
            </w:pPr>
            <w:r>
              <w:rPr>
                <w:rFonts w:hint="eastAsia" w:ascii="宋体" w:hAnsi="宋体"/>
                <w:color w:val="auto"/>
                <w:highlight w:val="none"/>
              </w:rPr>
              <w:t>设置独立的低视力诊室不少于15平方米</w:t>
            </w:r>
          </w:p>
        </w:tc>
        <w:tc>
          <w:tcPr>
            <w:tcW w:w="2555" w:type="dxa"/>
            <w:vMerge w:val="restart"/>
            <w:vAlign w:val="center"/>
          </w:tcPr>
          <w:p w14:paraId="532EA1D9">
            <w:pPr>
              <w:rPr>
                <w:rFonts w:ascii="宋体" w:hAnsi="宋体"/>
                <w:color w:val="auto"/>
                <w:highlight w:val="none"/>
              </w:rPr>
            </w:pPr>
            <w:bookmarkStart w:id="292" w:name="OLE_LINK152"/>
            <w:bookmarkStart w:id="293" w:name="OLE_LINK153"/>
            <w:r>
              <w:rPr>
                <w:rFonts w:hint="eastAsia" w:ascii="宋体" w:hAnsi="宋体"/>
                <w:color w:val="auto"/>
                <w:highlight w:val="none"/>
              </w:rPr>
              <w:t>提供场所平面图并标注出各种功能室，提供各功能室照片</w:t>
            </w:r>
            <w:bookmarkEnd w:id="292"/>
            <w:bookmarkEnd w:id="293"/>
          </w:p>
        </w:tc>
        <w:tc>
          <w:tcPr>
            <w:tcW w:w="1275" w:type="dxa"/>
            <w:vAlign w:val="center"/>
          </w:tcPr>
          <w:p w14:paraId="3F03D9F3">
            <w:pPr>
              <w:rPr>
                <w:rFonts w:ascii="宋体" w:hAnsi="宋体"/>
                <w:color w:val="auto"/>
                <w:highlight w:val="none"/>
              </w:rPr>
            </w:pPr>
          </w:p>
        </w:tc>
      </w:tr>
      <w:tr w14:paraId="1AA07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526" w:type="dxa"/>
            <w:vMerge w:val="continue"/>
            <w:vAlign w:val="center"/>
          </w:tcPr>
          <w:p w14:paraId="020A7F71">
            <w:pPr>
              <w:rPr>
                <w:rFonts w:ascii="宋体" w:hAnsi="宋体"/>
                <w:color w:val="auto"/>
                <w:highlight w:val="none"/>
              </w:rPr>
            </w:pPr>
          </w:p>
        </w:tc>
        <w:tc>
          <w:tcPr>
            <w:tcW w:w="3826" w:type="dxa"/>
            <w:vAlign w:val="center"/>
          </w:tcPr>
          <w:p w14:paraId="67C7B14B">
            <w:pPr>
              <w:rPr>
                <w:rFonts w:ascii="宋体" w:hAnsi="宋体"/>
                <w:color w:val="auto"/>
                <w:highlight w:val="none"/>
              </w:rPr>
            </w:pPr>
            <w:r>
              <w:rPr>
                <w:rFonts w:hint="eastAsia" w:ascii="宋体" w:hAnsi="宋体"/>
                <w:color w:val="auto"/>
                <w:highlight w:val="none"/>
              </w:rPr>
              <w:t>设置独立的助视器适配区不少于15平方米</w:t>
            </w:r>
          </w:p>
        </w:tc>
        <w:tc>
          <w:tcPr>
            <w:tcW w:w="2555" w:type="dxa"/>
            <w:vMerge w:val="continue"/>
            <w:vAlign w:val="center"/>
          </w:tcPr>
          <w:p w14:paraId="72E980A2">
            <w:pPr>
              <w:rPr>
                <w:rFonts w:ascii="宋体" w:hAnsi="宋体"/>
                <w:color w:val="auto"/>
                <w:highlight w:val="none"/>
              </w:rPr>
            </w:pPr>
          </w:p>
        </w:tc>
        <w:tc>
          <w:tcPr>
            <w:tcW w:w="1275" w:type="dxa"/>
            <w:vAlign w:val="center"/>
          </w:tcPr>
          <w:p w14:paraId="02F8B766">
            <w:pPr>
              <w:rPr>
                <w:rFonts w:ascii="宋体" w:hAnsi="宋体"/>
                <w:color w:val="auto"/>
                <w:highlight w:val="none"/>
              </w:rPr>
            </w:pPr>
          </w:p>
        </w:tc>
      </w:tr>
      <w:tr w14:paraId="22B32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1813B9B9">
            <w:pPr>
              <w:rPr>
                <w:rFonts w:ascii="宋体" w:hAnsi="宋体"/>
                <w:color w:val="auto"/>
                <w:highlight w:val="none"/>
              </w:rPr>
            </w:pPr>
          </w:p>
        </w:tc>
        <w:tc>
          <w:tcPr>
            <w:tcW w:w="3826" w:type="dxa"/>
            <w:vAlign w:val="center"/>
          </w:tcPr>
          <w:p w14:paraId="47C8AB80">
            <w:pPr>
              <w:rPr>
                <w:rFonts w:ascii="宋体" w:hAnsi="宋体"/>
                <w:color w:val="auto"/>
                <w:highlight w:val="none"/>
              </w:rPr>
            </w:pPr>
            <w:r>
              <w:rPr>
                <w:rFonts w:hint="eastAsia" w:ascii="宋体" w:hAnsi="宋体"/>
                <w:color w:val="auto"/>
                <w:highlight w:val="none"/>
              </w:rPr>
              <w:t>设置视功能训练室、日常生活适应能力训练室、定向行走训练室、集体教室，除集体教室外，其他三种功能室可以综合设置也可以分开设置</w:t>
            </w:r>
          </w:p>
        </w:tc>
        <w:tc>
          <w:tcPr>
            <w:tcW w:w="2555" w:type="dxa"/>
            <w:vMerge w:val="continue"/>
            <w:vAlign w:val="center"/>
          </w:tcPr>
          <w:p w14:paraId="7868174D">
            <w:pPr>
              <w:rPr>
                <w:rFonts w:ascii="宋体" w:hAnsi="宋体"/>
                <w:color w:val="auto"/>
                <w:highlight w:val="none"/>
              </w:rPr>
            </w:pPr>
          </w:p>
        </w:tc>
        <w:tc>
          <w:tcPr>
            <w:tcW w:w="1275" w:type="dxa"/>
            <w:vAlign w:val="center"/>
          </w:tcPr>
          <w:p w14:paraId="4C52E1F4">
            <w:pPr>
              <w:rPr>
                <w:rFonts w:ascii="宋体" w:hAnsi="宋体"/>
                <w:color w:val="auto"/>
                <w:highlight w:val="none"/>
              </w:rPr>
            </w:pPr>
          </w:p>
        </w:tc>
      </w:tr>
      <w:tr w14:paraId="3A04B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restart"/>
            <w:vAlign w:val="center"/>
          </w:tcPr>
          <w:p w14:paraId="4DDBECE8">
            <w:pPr>
              <w:rPr>
                <w:rFonts w:ascii="宋体" w:hAnsi="宋体"/>
                <w:color w:val="auto"/>
                <w:highlight w:val="none"/>
              </w:rPr>
            </w:pPr>
            <w:bookmarkStart w:id="294" w:name="_Hlk214229703"/>
            <w:r>
              <w:rPr>
                <w:rFonts w:hint="eastAsia" w:ascii="宋体" w:hAnsi="宋体"/>
                <w:color w:val="auto"/>
                <w:highlight w:val="none"/>
              </w:rPr>
              <w:t>3.</w:t>
            </w:r>
            <w:r>
              <w:rPr>
                <w:rFonts w:ascii="宋体" w:hAnsi="宋体"/>
                <w:color w:val="auto"/>
                <w:highlight w:val="none"/>
              </w:rPr>
              <w:t xml:space="preserve"> </w:t>
            </w:r>
            <w:r>
              <w:rPr>
                <w:rFonts w:hint="eastAsia" w:ascii="宋体" w:hAnsi="宋体"/>
                <w:color w:val="auto"/>
                <w:highlight w:val="none"/>
              </w:rPr>
              <w:t>训练设备</w:t>
            </w:r>
          </w:p>
        </w:tc>
        <w:tc>
          <w:tcPr>
            <w:tcW w:w="3826" w:type="dxa"/>
            <w:vAlign w:val="center"/>
          </w:tcPr>
          <w:p w14:paraId="091C64C4">
            <w:pPr>
              <w:rPr>
                <w:rFonts w:ascii="宋体" w:hAnsi="宋体"/>
                <w:bCs/>
                <w:color w:val="auto"/>
                <w:highlight w:val="none"/>
              </w:rPr>
            </w:pPr>
            <w:r>
              <w:rPr>
                <w:rFonts w:hint="eastAsia" w:ascii="宋体" w:hAnsi="宋体"/>
                <w:bCs/>
                <w:color w:val="auto"/>
                <w:highlight w:val="none"/>
              </w:rPr>
              <w:t>配备视觉检查设备与器材，包括视力表、眼科诊疗常用设备、助视器配镜、普通验光设备等</w:t>
            </w:r>
          </w:p>
        </w:tc>
        <w:tc>
          <w:tcPr>
            <w:tcW w:w="2555" w:type="dxa"/>
            <w:vMerge w:val="restart"/>
            <w:vAlign w:val="center"/>
          </w:tcPr>
          <w:p w14:paraId="21525692">
            <w:pPr>
              <w:rPr>
                <w:rFonts w:ascii="宋体" w:hAnsi="宋体"/>
                <w:bCs/>
                <w:color w:val="auto"/>
                <w:highlight w:val="none"/>
              </w:rPr>
            </w:pPr>
            <w:r>
              <w:rPr>
                <w:rFonts w:hint="eastAsia" w:ascii="宋体" w:hAnsi="宋体"/>
                <w:bCs/>
                <w:color w:val="auto"/>
                <w:highlight w:val="none"/>
              </w:rPr>
              <w:t>提供清单及使用过程中的照片</w:t>
            </w:r>
          </w:p>
        </w:tc>
        <w:tc>
          <w:tcPr>
            <w:tcW w:w="1275" w:type="dxa"/>
            <w:vAlign w:val="center"/>
          </w:tcPr>
          <w:p w14:paraId="6ECFEEAF">
            <w:pPr>
              <w:rPr>
                <w:rFonts w:ascii="宋体" w:hAnsi="宋体"/>
                <w:color w:val="auto"/>
                <w:highlight w:val="none"/>
              </w:rPr>
            </w:pPr>
          </w:p>
        </w:tc>
      </w:tr>
      <w:tr w14:paraId="2E381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6153D167">
            <w:pPr>
              <w:rPr>
                <w:rFonts w:ascii="宋体" w:hAnsi="宋体"/>
                <w:color w:val="auto"/>
                <w:highlight w:val="none"/>
              </w:rPr>
            </w:pPr>
          </w:p>
        </w:tc>
        <w:tc>
          <w:tcPr>
            <w:tcW w:w="3826" w:type="dxa"/>
            <w:vAlign w:val="center"/>
          </w:tcPr>
          <w:p w14:paraId="6795446B">
            <w:pPr>
              <w:rPr>
                <w:rFonts w:ascii="宋体" w:hAnsi="宋体"/>
                <w:bCs/>
                <w:color w:val="auto"/>
                <w:highlight w:val="none"/>
              </w:rPr>
            </w:pPr>
            <w:r>
              <w:rPr>
                <w:rFonts w:hint="eastAsia" w:ascii="宋体" w:hAnsi="宋体"/>
                <w:bCs/>
                <w:color w:val="auto"/>
                <w:highlight w:val="none"/>
              </w:rPr>
              <w:t>配备视觉康复训练设备与器材，包括光学、电子类助视器、其它训练器械和辅助设备等</w:t>
            </w:r>
          </w:p>
        </w:tc>
        <w:tc>
          <w:tcPr>
            <w:tcW w:w="2555" w:type="dxa"/>
            <w:vMerge w:val="continue"/>
            <w:vAlign w:val="center"/>
          </w:tcPr>
          <w:p w14:paraId="646E9B34">
            <w:pPr>
              <w:rPr>
                <w:rFonts w:ascii="宋体" w:hAnsi="宋体"/>
                <w:bCs/>
                <w:color w:val="auto"/>
                <w:highlight w:val="none"/>
              </w:rPr>
            </w:pPr>
          </w:p>
        </w:tc>
        <w:tc>
          <w:tcPr>
            <w:tcW w:w="1275" w:type="dxa"/>
            <w:vAlign w:val="center"/>
          </w:tcPr>
          <w:p w14:paraId="02450E09">
            <w:pPr>
              <w:rPr>
                <w:rFonts w:ascii="宋体" w:hAnsi="宋体"/>
                <w:color w:val="auto"/>
                <w:highlight w:val="none"/>
              </w:rPr>
            </w:pPr>
          </w:p>
        </w:tc>
      </w:tr>
      <w:tr w14:paraId="44B84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37F92953">
            <w:pPr>
              <w:rPr>
                <w:rFonts w:ascii="宋体" w:hAnsi="宋体"/>
                <w:color w:val="auto"/>
                <w:highlight w:val="none"/>
              </w:rPr>
            </w:pPr>
          </w:p>
        </w:tc>
        <w:tc>
          <w:tcPr>
            <w:tcW w:w="3826" w:type="dxa"/>
            <w:vAlign w:val="center"/>
          </w:tcPr>
          <w:p w14:paraId="6CB3246D">
            <w:pPr>
              <w:rPr>
                <w:rFonts w:ascii="宋体" w:hAnsi="宋体"/>
                <w:bCs/>
                <w:color w:val="auto"/>
                <w:highlight w:val="none"/>
              </w:rPr>
            </w:pPr>
            <w:bookmarkStart w:id="295" w:name="OLE_LINK166"/>
            <w:bookmarkStart w:id="296" w:name="OLE_LINK165"/>
            <w:r>
              <w:rPr>
                <w:rFonts w:hint="eastAsia" w:ascii="宋体" w:hAnsi="宋体"/>
                <w:bCs/>
                <w:color w:val="auto"/>
                <w:highlight w:val="none"/>
              </w:rPr>
              <w:t>配备定向行走辅助器材，包括感统训练器具、定向辅具、移动辅具等</w:t>
            </w:r>
            <w:bookmarkEnd w:id="295"/>
            <w:bookmarkEnd w:id="296"/>
          </w:p>
        </w:tc>
        <w:tc>
          <w:tcPr>
            <w:tcW w:w="2555" w:type="dxa"/>
            <w:vMerge w:val="continue"/>
            <w:vAlign w:val="center"/>
          </w:tcPr>
          <w:p w14:paraId="2F894A2E">
            <w:pPr>
              <w:rPr>
                <w:rFonts w:ascii="宋体" w:hAnsi="宋体"/>
                <w:bCs/>
                <w:color w:val="auto"/>
                <w:highlight w:val="none"/>
              </w:rPr>
            </w:pPr>
          </w:p>
        </w:tc>
        <w:tc>
          <w:tcPr>
            <w:tcW w:w="1275" w:type="dxa"/>
            <w:vAlign w:val="center"/>
          </w:tcPr>
          <w:p w14:paraId="40EFA5CC">
            <w:pPr>
              <w:rPr>
                <w:rFonts w:ascii="宋体" w:hAnsi="宋体"/>
                <w:color w:val="auto"/>
                <w:highlight w:val="none"/>
              </w:rPr>
            </w:pPr>
          </w:p>
        </w:tc>
      </w:tr>
      <w:tr w14:paraId="2299D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6CF5A8ED">
            <w:pPr>
              <w:rPr>
                <w:rFonts w:ascii="宋体" w:hAnsi="宋体"/>
                <w:color w:val="auto"/>
                <w:highlight w:val="none"/>
              </w:rPr>
            </w:pPr>
          </w:p>
        </w:tc>
        <w:tc>
          <w:tcPr>
            <w:tcW w:w="3826" w:type="dxa"/>
            <w:vAlign w:val="center"/>
          </w:tcPr>
          <w:p w14:paraId="275E748D">
            <w:pPr>
              <w:rPr>
                <w:rFonts w:ascii="宋体" w:hAnsi="宋体"/>
                <w:bCs/>
                <w:color w:val="auto"/>
                <w:highlight w:val="none"/>
              </w:rPr>
            </w:pPr>
            <w:r>
              <w:rPr>
                <w:rFonts w:hint="eastAsia" w:ascii="宋体" w:hAnsi="宋体"/>
                <w:bCs/>
                <w:color w:val="auto"/>
                <w:highlight w:val="none"/>
              </w:rPr>
              <w:t>配备弱视训练设备与器材，包括各类弱视训练仪器、后像光刷仪等</w:t>
            </w:r>
          </w:p>
        </w:tc>
        <w:tc>
          <w:tcPr>
            <w:tcW w:w="2555" w:type="dxa"/>
            <w:vMerge w:val="continue"/>
            <w:vAlign w:val="center"/>
          </w:tcPr>
          <w:p w14:paraId="6DAA00A3">
            <w:pPr>
              <w:rPr>
                <w:rFonts w:ascii="宋体" w:hAnsi="宋体"/>
                <w:color w:val="auto"/>
                <w:highlight w:val="none"/>
              </w:rPr>
            </w:pPr>
          </w:p>
        </w:tc>
        <w:tc>
          <w:tcPr>
            <w:tcW w:w="1275" w:type="dxa"/>
            <w:vAlign w:val="center"/>
          </w:tcPr>
          <w:p w14:paraId="2DE76EFE">
            <w:pPr>
              <w:rPr>
                <w:rFonts w:ascii="宋体" w:hAnsi="宋体"/>
                <w:color w:val="auto"/>
                <w:highlight w:val="none"/>
              </w:rPr>
            </w:pPr>
          </w:p>
        </w:tc>
      </w:tr>
      <w:tr w14:paraId="6910A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01ED2498">
            <w:pPr>
              <w:rPr>
                <w:rFonts w:ascii="宋体" w:hAnsi="宋体"/>
                <w:color w:val="auto"/>
                <w:highlight w:val="none"/>
              </w:rPr>
            </w:pPr>
          </w:p>
        </w:tc>
        <w:tc>
          <w:tcPr>
            <w:tcW w:w="3826" w:type="dxa"/>
            <w:vAlign w:val="center"/>
          </w:tcPr>
          <w:p w14:paraId="01A18AF4">
            <w:pPr>
              <w:rPr>
                <w:rFonts w:ascii="宋体" w:hAnsi="宋体"/>
                <w:bCs/>
                <w:color w:val="auto"/>
                <w:highlight w:val="none"/>
              </w:rPr>
            </w:pPr>
            <w:r>
              <w:rPr>
                <w:rFonts w:hint="eastAsia" w:ascii="宋体" w:hAnsi="宋体"/>
                <w:bCs/>
                <w:color w:val="auto"/>
                <w:highlight w:val="none"/>
              </w:rPr>
              <w:t>配备双眼视觉功能训练设备与器材，包括同视机等训练器材</w:t>
            </w:r>
          </w:p>
        </w:tc>
        <w:tc>
          <w:tcPr>
            <w:tcW w:w="2555" w:type="dxa"/>
            <w:vMerge w:val="continue"/>
            <w:vAlign w:val="center"/>
          </w:tcPr>
          <w:p w14:paraId="2D5C5ACE">
            <w:pPr>
              <w:rPr>
                <w:rFonts w:ascii="宋体" w:hAnsi="宋体"/>
                <w:color w:val="auto"/>
                <w:highlight w:val="none"/>
              </w:rPr>
            </w:pPr>
          </w:p>
        </w:tc>
        <w:tc>
          <w:tcPr>
            <w:tcW w:w="1275" w:type="dxa"/>
            <w:vAlign w:val="center"/>
          </w:tcPr>
          <w:p w14:paraId="4B146918">
            <w:pPr>
              <w:rPr>
                <w:rFonts w:ascii="宋体" w:hAnsi="宋体"/>
                <w:color w:val="auto"/>
                <w:highlight w:val="none"/>
              </w:rPr>
            </w:pPr>
          </w:p>
        </w:tc>
      </w:tr>
      <w:tr w14:paraId="5C48C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3F4D9B32">
            <w:pPr>
              <w:rPr>
                <w:rFonts w:ascii="宋体" w:hAnsi="宋体"/>
                <w:color w:val="auto"/>
                <w:highlight w:val="none"/>
              </w:rPr>
            </w:pPr>
          </w:p>
        </w:tc>
        <w:tc>
          <w:tcPr>
            <w:tcW w:w="3826" w:type="dxa"/>
            <w:vAlign w:val="center"/>
          </w:tcPr>
          <w:p w14:paraId="1F47A296">
            <w:pPr>
              <w:rPr>
                <w:rFonts w:ascii="宋体" w:hAnsi="宋体"/>
                <w:bCs/>
                <w:color w:val="auto"/>
                <w:highlight w:val="none"/>
              </w:rPr>
            </w:pPr>
            <w:r>
              <w:rPr>
                <w:rFonts w:hint="eastAsia" w:ascii="宋体" w:hAnsi="宋体"/>
                <w:bCs/>
                <w:color w:val="auto"/>
                <w:highlight w:val="none"/>
              </w:rPr>
              <w:t>配备家长培训所需的教学设备；至少配备80件符合儿童视力康复训练特点的各类玩具、图书</w:t>
            </w:r>
          </w:p>
        </w:tc>
        <w:tc>
          <w:tcPr>
            <w:tcW w:w="2555" w:type="dxa"/>
            <w:vMerge w:val="continue"/>
            <w:vAlign w:val="center"/>
          </w:tcPr>
          <w:p w14:paraId="1A350AAB">
            <w:pPr>
              <w:rPr>
                <w:rFonts w:ascii="宋体" w:hAnsi="宋体"/>
                <w:color w:val="auto"/>
                <w:highlight w:val="none"/>
              </w:rPr>
            </w:pPr>
          </w:p>
        </w:tc>
        <w:tc>
          <w:tcPr>
            <w:tcW w:w="1275" w:type="dxa"/>
            <w:vAlign w:val="center"/>
          </w:tcPr>
          <w:p w14:paraId="7FE7021B">
            <w:pPr>
              <w:rPr>
                <w:rFonts w:ascii="宋体" w:hAnsi="宋体"/>
                <w:color w:val="auto"/>
                <w:highlight w:val="none"/>
              </w:rPr>
            </w:pPr>
          </w:p>
        </w:tc>
      </w:tr>
      <w:bookmarkEnd w:id="294"/>
      <w:tr w14:paraId="2384B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restart"/>
            <w:vAlign w:val="center"/>
          </w:tcPr>
          <w:p w14:paraId="2ACC9B06">
            <w:pPr>
              <w:rPr>
                <w:rFonts w:ascii="宋体" w:hAnsi="宋体"/>
                <w:color w:val="auto"/>
                <w:highlight w:val="none"/>
              </w:rPr>
            </w:pPr>
            <w:r>
              <w:rPr>
                <w:rFonts w:hint="eastAsia" w:ascii="宋体" w:hAnsi="宋体"/>
                <w:bCs/>
                <w:color w:val="auto"/>
                <w:highlight w:val="none"/>
              </w:rPr>
              <w:t>4.</w:t>
            </w:r>
            <w:r>
              <w:rPr>
                <w:rFonts w:ascii="宋体" w:hAnsi="宋体"/>
                <w:bCs/>
                <w:color w:val="auto"/>
                <w:highlight w:val="none"/>
              </w:rPr>
              <w:t xml:space="preserve"> </w:t>
            </w:r>
            <w:r>
              <w:rPr>
                <w:rFonts w:hint="eastAsia" w:ascii="宋体" w:hAnsi="宋体"/>
                <w:bCs/>
                <w:color w:val="auto"/>
                <w:highlight w:val="none"/>
              </w:rPr>
              <w:t>人员配备</w:t>
            </w:r>
          </w:p>
        </w:tc>
        <w:tc>
          <w:tcPr>
            <w:tcW w:w="3826" w:type="dxa"/>
            <w:vAlign w:val="center"/>
          </w:tcPr>
          <w:p w14:paraId="0663FA0B">
            <w:pPr>
              <w:rPr>
                <w:rFonts w:ascii="宋体" w:hAnsi="宋体"/>
                <w:bCs/>
                <w:color w:val="auto"/>
                <w:highlight w:val="none"/>
              </w:rPr>
            </w:pPr>
            <w:r>
              <w:rPr>
                <w:rFonts w:hint="eastAsia" w:ascii="宋体" w:hAnsi="宋体"/>
                <w:bCs/>
                <w:color w:val="auto"/>
                <w:highlight w:val="none"/>
              </w:rPr>
              <w:t>至少配备1名取得国家执业医师资格的眼科临床医生，执业地点注册在本机构；至少配备1名视力康复专业技术人员；至少配备1名光学验配专业技术人员。</w:t>
            </w:r>
          </w:p>
        </w:tc>
        <w:tc>
          <w:tcPr>
            <w:tcW w:w="2555" w:type="dxa"/>
            <w:vMerge w:val="restart"/>
            <w:vAlign w:val="center"/>
          </w:tcPr>
          <w:p w14:paraId="447C28B3">
            <w:pPr>
              <w:rPr>
                <w:rFonts w:ascii="宋体" w:hAnsi="宋体"/>
                <w:bCs/>
                <w:color w:val="auto"/>
                <w:highlight w:val="none"/>
              </w:rPr>
            </w:pPr>
            <w:bookmarkStart w:id="297" w:name="OLE_LINK181"/>
            <w:bookmarkStart w:id="298" w:name="OLE_LINK182"/>
            <w:r>
              <w:rPr>
                <w:rFonts w:hint="eastAsia" w:ascii="宋体" w:hAnsi="宋体"/>
                <w:bCs/>
                <w:color w:val="auto"/>
                <w:highlight w:val="none"/>
              </w:rPr>
              <w:t>提供《项目人员配置清单》和《在训儿童清单》（格式见附件1、2），并按要求提供证明材料（人员资格证书、申请人近三个月中任意一个月份（不含征集当月）为其缴纳社保的证明、健康检查合格证明或体检报告，公办机构的编外劳务派遣专业技术人员的另需提供第三方劳务派遣协议等证明资料），同时申请其他类别的，项目人员配置不得重复。</w:t>
            </w:r>
            <w:bookmarkEnd w:id="297"/>
            <w:bookmarkEnd w:id="298"/>
          </w:p>
        </w:tc>
        <w:tc>
          <w:tcPr>
            <w:tcW w:w="1275" w:type="dxa"/>
            <w:vAlign w:val="center"/>
          </w:tcPr>
          <w:p w14:paraId="6A323769">
            <w:pPr>
              <w:rPr>
                <w:rFonts w:ascii="宋体" w:hAnsi="宋体"/>
                <w:color w:val="auto"/>
                <w:highlight w:val="none"/>
              </w:rPr>
            </w:pPr>
          </w:p>
        </w:tc>
      </w:tr>
      <w:tr w14:paraId="0DC61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0" w:hRule="atLeast"/>
        </w:trPr>
        <w:tc>
          <w:tcPr>
            <w:tcW w:w="1526" w:type="dxa"/>
            <w:vMerge w:val="continue"/>
            <w:vAlign w:val="center"/>
          </w:tcPr>
          <w:p w14:paraId="35440576">
            <w:pPr>
              <w:rPr>
                <w:rFonts w:ascii="宋体" w:hAnsi="宋体"/>
                <w:bCs/>
                <w:color w:val="auto"/>
                <w:highlight w:val="none"/>
              </w:rPr>
            </w:pPr>
          </w:p>
        </w:tc>
        <w:tc>
          <w:tcPr>
            <w:tcW w:w="3826" w:type="dxa"/>
            <w:vAlign w:val="center"/>
          </w:tcPr>
          <w:p w14:paraId="0D925AD5">
            <w:pPr>
              <w:rPr>
                <w:rFonts w:ascii="宋体" w:hAnsi="宋体"/>
                <w:bCs/>
                <w:color w:val="auto"/>
                <w:highlight w:val="none"/>
              </w:rPr>
            </w:pPr>
            <w:r>
              <w:rPr>
                <w:rFonts w:hint="eastAsia" w:ascii="宋体" w:hAnsi="宋体"/>
                <w:bCs/>
                <w:color w:val="auto"/>
                <w:highlight w:val="none"/>
              </w:rPr>
              <w:t>上述三种专业技术人员（有相应资质证书）均应在本单位缴纳社会保险，均应取得健康证明，与在训儿童比例不低于1：10</w:t>
            </w:r>
          </w:p>
        </w:tc>
        <w:tc>
          <w:tcPr>
            <w:tcW w:w="2555" w:type="dxa"/>
            <w:vMerge w:val="continue"/>
            <w:vAlign w:val="center"/>
          </w:tcPr>
          <w:p w14:paraId="42B3647C">
            <w:pPr>
              <w:rPr>
                <w:rFonts w:ascii="宋体" w:hAnsi="宋体"/>
                <w:color w:val="auto"/>
                <w:highlight w:val="none"/>
              </w:rPr>
            </w:pPr>
          </w:p>
        </w:tc>
        <w:tc>
          <w:tcPr>
            <w:tcW w:w="1275" w:type="dxa"/>
            <w:vAlign w:val="center"/>
          </w:tcPr>
          <w:p w14:paraId="7722D158">
            <w:pPr>
              <w:rPr>
                <w:rFonts w:ascii="宋体" w:hAnsi="宋体"/>
                <w:color w:val="auto"/>
                <w:highlight w:val="none"/>
              </w:rPr>
            </w:pPr>
          </w:p>
        </w:tc>
      </w:tr>
      <w:tr w14:paraId="72120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restart"/>
            <w:vAlign w:val="center"/>
          </w:tcPr>
          <w:p w14:paraId="05A5D819">
            <w:pPr>
              <w:rPr>
                <w:rFonts w:ascii="宋体" w:hAnsi="宋体"/>
                <w:bCs/>
                <w:color w:val="auto"/>
                <w:highlight w:val="none"/>
              </w:rPr>
            </w:pPr>
            <w:r>
              <w:rPr>
                <w:rFonts w:hint="eastAsia" w:ascii="宋体" w:hAnsi="宋体"/>
                <w:bCs/>
                <w:color w:val="auto"/>
                <w:highlight w:val="none"/>
              </w:rPr>
              <w:t>5.服务能力</w:t>
            </w:r>
          </w:p>
        </w:tc>
        <w:tc>
          <w:tcPr>
            <w:tcW w:w="3826" w:type="dxa"/>
            <w:vAlign w:val="center"/>
          </w:tcPr>
          <w:p w14:paraId="465FDC53">
            <w:pPr>
              <w:rPr>
                <w:rFonts w:ascii="宋体" w:hAnsi="宋体"/>
                <w:bCs/>
                <w:color w:val="auto"/>
                <w:highlight w:val="none"/>
              </w:rPr>
            </w:pPr>
            <w:r>
              <w:rPr>
                <w:rFonts w:hint="eastAsia" w:ascii="宋体" w:hAnsi="宋体"/>
                <w:bCs/>
                <w:color w:val="auto"/>
                <w:highlight w:val="none"/>
              </w:rPr>
              <w:t>目前在训或投标前1年内训练周期不少于3个月的视力障碍儿童不少于</w:t>
            </w:r>
            <w:bookmarkStart w:id="327" w:name="_GoBack"/>
            <w:r>
              <w:rPr>
                <w:rFonts w:hint="eastAsia" w:ascii="宋体" w:hAnsi="宋体"/>
                <w:b/>
                <w:bCs w:val="0"/>
                <w:color w:val="auto"/>
                <w:highlight w:val="none"/>
              </w:rPr>
              <w:t>3名</w:t>
            </w:r>
            <w:bookmarkEnd w:id="327"/>
          </w:p>
        </w:tc>
        <w:tc>
          <w:tcPr>
            <w:tcW w:w="2555" w:type="dxa"/>
            <w:vAlign w:val="center"/>
          </w:tcPr>
          <w:p w14:paraId="66943130">
            <w:pPr>
              <w:rPr>
                <w:rFonts w:ascii="宋体" w:hAnsi="宋体"/>
                <w:bCs/>
                <w:color w:val="auto"/>
                <w:highlight w:val="none"/>
              </w:rPr>
            </w:pPr>
            <w:r>
              <w:rPr>
                <w:rFonts w:hint="eastAsia" w:ascii="宋体" w:hAnsi="宋体"/>
                <w:bCs/>
                <w:color w:val="auto"/>
                <w:highlight w:val="none"/>
              </w:rPr>
              <w:t>提供《在训儿童清单》，每名儿童均需出具三级医疗机构出具的医疗诊断书（诊断明确为低视力、弱视、斜视等视力障碍）或视力残疾人证，已纳入康复救助的在训儿童可以无锡市残联信息系统康复救助审核通过的截图代替</w:t>
            </w:r>
          </w:p>
        </w:tc>
        <w:tc>
          <w:tcPr>
            <w:tcW w:w="1275" w:type="dxa"/>
            <w:vAlign w:val="center"/>
          </w:tcPr>
          <w:p w14:paraId="5E2FFD37">
            <w:pPr>
              <w:rPr>
                <w:rFonts w:ascii="宋体" w:hAnsi="宋体"/>
                <w:color w:val="auto"/>
                <w:highlight w:val="none"/>
              </w:rPr>
            </w:pPr>
          </w:p>
        </w:tc>
      </w:tr>
      <w:tr w14:paraId="3611E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39A4B3B8">
            <w:pPr>
              <w:rPr>
                <w:rFonts w:ascii="宋体" w:hAnsi="宋体"/>
                <w:bCs/>
                <w:color w:val="auto"/>
                <w:highlight w:val="none"/>
              </w:rPr>
            </w:pPr>
          </w:p>
        </w:tc>
        <w:tc>
          <w:tcPr>
            <w:tcW w:w="3826" w:type="dxa"/>
            <w:vAlign w:val="center"/>
          </w:tcPr>
          <w:p w14:paraId="7E8F60F2">
            <w:pPr>
              <w:rPr>
                <w:rFonts w:ascii="宋体" w:hAnsi="宋体"/>
                <w:bCs/>
                <w:color w:val="auto"/>
                <w:highlight w:val="none"/>
              </w:rPr>
            </w:pPr>
            <w:r>
              <w:rPr>
                <w:rFonts w:hint="eastAsia" w:ascii="宋体" w:hAnsi="宋体"/>
                <w:bCs/>
                <w:color w:val="auto"/>
                <w:highlight w:val="none"/>
              </w:rPr>
              <w:t>能提供以下训练内容：感知觉训练（包括但不仅限于听觉、触觉、嗅觉和味觉训练）、视功能训练（包括但不仅限于视觉注视、视觉追踪、视觉辩认、视觉搜寻、视觉记忆训练）、定向技能及行走训练（包括但不仅限于定向技能、行走技巧、导盲随行训练）、生活适应能力训练（包括但不仅限于生活自理和社会适应能力训练）</w:t>
            </w:r>
          </w:p>
        </w:tc>
        <w:tc>
          <w:tcPr>
            <w:tcW w:w="2555" w:type="dxa"/>
            <w:vAlign w:val="center"/>
          </w:tcPr>
          <w:p w14:paraId="5D873293">
            <w:pPr>
              <w:rPr>
                <w:rFonts w:ascii="宋体" w:hAnsi="宋体"/>
                <w:bCs/>
                <w:color w:val="auto"/>
                <w:highlight w:val="none"/>
              </w:rPr>
            </w:pPr>
            <w:bookmarkStart w:id="299" w:name="OLE_LINK189"/>
            <w:bookmarkStart w:id="300" w:name="OLE_LINK190"/>
            <w:r>
              <w:rPr>
                <w:rFonts w:hint="eastAsia" w:ascii="宋体" w:hAnsi="宋体"/>
                <w:bCs/>
                <w:color w:val="auto"/>
                <w:highlight w:val="none"/>
              </w:rPr>
              <w:t>每种训练内容至少提供2张不同训练情境的照片并匹配文字</w:t>
            </w:r>
            <w:bookmarkEnd w:id="299"/>
            <w:bookmarkEnd w:id="300"/>
          </w:p>
        </w:tc>
        <w:tc>
          <w:tcPr>
            <w:tcW w:w="1275" w:type="dxa"/>
            <w:vAlign w:val="center"/>
          </w:tcPr>
          <w:p w14:paraId="26AC2B9D">
            <w:pPr>
              <w:rPr>
                <w:rFonts w:ascii="宋体" w:hAnsi="宋体"/>
                <w:color w:val="auto"/>
                <w:highlight w:val="none"/>
              </w:rPr>
            </w:pPr>
          </w:p>
        </w:tc>
      </w:tr>
      <w:tr w14:paraId="2DFC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674AD751">
            <w:pPr>
              <w:rPr>
                <w:rFonts w:ascii="宋体" w:hAnsi="宋体"/>
                <w:bCs/>
                <w:color w:val="auto"/>
                <w:highlight w:val="none"/>
              </w:rPr>
            </w:pPr>
          </w:p>
        </w:tc>
        <w:tc>
          <w:tcPr>
            <w:tcW w:w="3826" w:type="dxa"/>
            <w:vAlign w:val="center"/>
          </w:tcPr>
          <w:p w14:paraId="3D333B68">
            <w:pPr>
              <w:rPr>
                <w:rFonts w:ascii="宋体" w:hAnsi="宋体"/>
                <w:bCs/>
                <w:color w:val="auto"/>
                <w:highlight w:val="none"/>
              </w:rPr>
            </w:pPr>
            <w:r>
              <w:rPr>
                <w:rFonts w:hint="eastAsia" w:ascii="宋体" w:hAnsi="宋体"/>
                <w:bCs/>
                <w:color w:val="auto"/>
                <w:highlight w:val="none"/>
              </w:rPr>
              <w:t>至少提供1份完整的基本康复训练档案，包括康复服务登记表、初始状态评估表、康复训练计划、康复训练记录或康复训练日志、阶段性评估表（至少每半年一次）、训练出勤表（缺一不可）</w:t>
            </w:r>
          </w:p>
        </w:tc>
        <w:tc>
          <w:tcPr>
            <w:tcW w:w="2555" w:type="dxa"/>
            <w:vAlign w:val="center"/>
          </w:tcPr>
          <w:p w14:paraId="717ADDB8">
            <w:pPr>
              <w:rPr>
                <w:rFonts w:ascii="宋体" w:hAnsi="宋体"/>
                <w:bCs/>
                <w:color w:val="auto"/>
                <w:highlight w:val="none"/>
              </w:rPr>
            </w:pPr>
            <w:r>
              <w:rPr>
                <w:rFonts w:hint="eastAsia" w:ascii="宋体" w:hAnsi="宋体"/>
                <w:bCs/>
                <w:color w:val="auto"/>
                <w:highlight w:val="none"/>
              </w:rPr>
              <w:t>至少提供1份完整的基本康复训练档案（六项内容缺一不可）</w:t>
            </w:r>
          </w:p>
        </w:tc>
        <w:tc>
          <w:tcPr>
            <w:tcW w:w="1275" w:type="dxa"/>
            <w:vAlign w:val="center"/>
          </w:tcPr>
          <w:p w14:paraId="1198CCFD">
            <w:pPr>
              <w:rPr>
                <w:rFonts w:ascii="宋体" w:hAnsi="宋体"/>
                <w:color w:val="auto"/>
                <w:highlight w:val="none"/>
              </w:rPr>
            </w:pPr>
          </w:p>
        </w:tc>
      </w:tr>
      <w:tr w14:paraId="1F2C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Align w:val="center"/>
          </w:tcPr>
          <w:p w14:paraId="425FCC79">
            <w:pPr>
              <w:rPr>
                <w:rFonts w:ascii="宋体" w:hAnsi="宋体"/>
                <w:bCs/>
                <w:color w:val="auto"/>
                <w:highlight w:val="none"/>
              </w:rPr>
            </w:pPr>
            <w:r>
              <w:rPr>
                <w:rFonts w:hint="eastAsia" w:ascii="宋体" w:hAnsi="宋体"/>
                <w:bCs/>
                <w:color w:val="auto"/>
                <w:highlight w:val="none"/>
              </w:rPr>
              <w:t>6.</w:t>
            </w:r>
            <w:r>
              <w:rPr>
                <w:rFonts w:ascii="宋体" w:hAnsi="宋体"/>
                <w:bCs/>
                <w:color w:val="auto"/>
                <w:highlight w:val="none"/>
              </w:rPr>
              <w:t xml:space="preserve"> </w:t>
            </w:r>
            <w:r>
              <w:rPr>
                <w:rFonts w:hint="eastAsia" w:ascii="宋体" w:hAnsi="宋体"/>
                <w:bCs/>
                <w:color w:val="auto"/>
                <w:highlight w:val="none"/>
              </w:rPr>
              <w:t>制度管理</w:t>
            </w:r>
          </w:p>
        </w:tc>
        <w:tc>
          <w:tcPr>
            <w:tcW w:w="3826" w:type="dxa"/>
            <w:vAlign w:val="center"/>
          </w:tcPr>
          <w:p w14:paraId="70340A88">
            <w:pPr>
              <w:rPr>
                <w:rFonts w:ascii="宋体" w:hAnsi="宋体"/>
                <w:bCs/>
                <w:color w:val="auto"/>
                <w:highlight w:val="none"/>
              </w:rPr>
            </w:pPr>
            <w:r>
              <w:rPr>
                <w:rFonts w:hint="eastAsia" w:ascii="宋体" w:hAnsi="宋体"/>
                <w:bCs/>
                <w:color w:val="auto"/>
                <w:highlight w:val="none"/>
              </w:rPr>
              <w:t>具备岗位职责、业务管理、突发事件应急预案等内控制度，服务项目等信息向服务对象公示</w:t>
            </w:r>
          </w:p>
        </w:tc>
        <w:tc>
          <w:tcPr>
            <w:tcW w:w="2555" w:type="dxa"/>
            <w:vAlign w:val="center"/>
          </w:tcPr>
          <w:p w14:paraId="1784F5AD">
            <w:pPr>
              <w:rPr>
                <w:rFonts w:ascii="宋体" w:hAnsi="宋体"/>
                <w:bCs/>
                <w:color w:val="auto"/>
                <w:highlight w:val="none"/>
              </w:rPr>
            </w:pPr>
            <w:r>
              <w:rPr>
                <w:rFonts w:hint="eastAsia" w:ascii="宋体" w:hAnsi="宋体"/>
                <w:bCs/>
                <w:color w:val="auto"/>
                <w:highlight w:val="none"/>
              </w:rPr>
              <w:t>提供照片、文字资料</w:t>
            </w:r>
          </w:p>
        </w:tc>
        <w:tc>
          <w:tcPr>
            <w:tcW w:w="1275" w:type="dxa"/>
            <w:vAlign w:val="center"/>
          </w:tcPr>
          <w:p w14:paraId="62D1A179">
            <w:pPr>
              <w:rPr>
                <w:rFonts w:ascii="宋体" w:hAnsi="宋体"/>
                <w:color w:val="auto"/>
                <w:highlight w:val="none"/>
              </w:rPr>
            </w:pPr>
          </w:p>
        </w:tc>
      </w:tr>
      <w:tr w14:paraId="1F538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Align w:val="center"/>
          </w:tcPr>
          <w:p w14:paraId="2F321FDC">
            <w:pPr>
              <w:rPr>
                <w:rFonts w:ascii="宋体" w:hAnsi="宋体"/>
                <w:bCs/>
                <w:color w:val="auto"/>
                <w:highlight w:val="none"/>
              </w:rPr>
            </w:pPr>
            <w:r>
              <w:rPr>
                <w:rFonts w:hint="eastAsia" w:ascii="宋体" w:hAnsi="宋体"/>
                <w:bCs/>
                <w:color w:val="auto"/>
                <w:highlight w:val="none"/>
              </w:rPr>
              <w:t>7. 服务计费</w:t>
            </w:r>
          </w:p>
        </w:tc>
        <w:tc>
          <w:tcPr>
            <w:tcW w:w="3826" w:type="dxa"/>
            <w:vAlign w:val="center"/>
          </w:tcPr>
          <w:p w14:paraId="30FD027B">
            <w:pPr>
              <w:rPr>
                <w:rFonts w:ascii="宋体" w:hAnsi="宋体"/>
                <w:bCs/>
                <w:color w:val="auto"/>
                <w:highlight w:val="none"/>
              </w:rPr>
            </w:pPr>
            <w:bookmarkStart w:id="301" w:name="OLE_LINK201"/>
            <w:bookmarkStart w:id="302" w:name="OLE_LINK175"/>
            <w:bookmarkStart w:id="303" w:name="OLE_LINK200"/>
            <w:bookmarkStart w:id="304" w:name="OLE_LINK202"/>
            <w:bookmarkStart w:id="305" w:name="OLE_LINK176"/>
            <w:bookmarkStart w:id="306" w:name="OLE_LINK195"/>
            <w:bookmarkStart w:id="307" w:name="OLE_LINK194"/>
            <w:bookmarkStart w:id="308" w:name="OLE_LINK203"/>
            <w:r>
              <w:rPr>
                <w:rFonts w:hint="eastAsia" w:ascii="宋体" w:hAnsi="宋体"/>
                <w:bCs/>
                <w:color w:val="auto"/>
                <w:highlight w:val="none"/>
              </w:rPr>
              <w:t>按医疗机构康复服务项目标准提供服务</w:t>
            </w:r>
            <w:bookmarkEnd w:id="301"/>
            <w:bookmarkEnd w:id="302"/>
            <w:bookmarkEnd w:id="303"/>
            <w:bookmarkEnd w:id="304"/>
            <w:bookmarkEnd w:id="305"/>
            <w:bookmarkEnd w:id="306"/>
            <w:bookmarkEnd w:id="307"/>
            <w:bookmarkEnd w:id="308"/>
          </w:p>
        </w:tc>
        <w:tc>
          <w:tcPr>
            <w:tcW w:w="2555" w:type="dxa"/>
            <w:vAlign w:val="center"/>
          </w:tcPr>
          <w:p w14:paraId="7554EE10">
            <w:pPr>
              <w:rPr>
                <w:rFonts w:ascii="宋体" w:hAnsi="宋体"/>
                <w:bCs/>
                <w:color w:val="auto"/>
                <w:highlight w:val="none"/>
              </w:rPr>
            </w:pPr>
            <w:r>
              <w:rPr>
                <w:rFonts w:hint="eastAsia" w:ascii="宋体" w:hAnsi="宋体"/>
                <w:bCs/>
                <w:color w:val="auto"/>
                <w:highlight w:val="none"/>
              </w:rPr>
              <w:t>提供视力康复项目收费价目表一份，并作为经费结算依据（格式见附件3）</w:t>
            </w:r>
          </w:p>
        </w:tc>
        <w:tc>
          <w:tcPr>
            <w:tcW w:w="1275" w:type="dxa"/>
            <w:vAlign w:val="center"/>
          </w:tcPr>
          <w:p w14:paraId="563DE3A8">
            <w:pPr>
              <w:rPr>
                <w:rFonts w:ascii="宋体" w:hAnsi="宋体"/>
                <w:color w:val="auto"/>
                <w:highlight w:val="none"/>
              </w:rPr>
            </w:pPr>
          </w:p>
        </w:tc>
      </w:tr>
      <w:tr w14:paraId="2D55F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526" w:type="dxa"/>
            <w:vAlign w:val="center"/>
          </w:tcPr>
          <w:p w14:paraId="54F90A45">
            <w:pPr>
              <w:rPr>
                <w:rFonts w:ascii="宋体" w:hAnsi="宋体"/>
                <w:bCs/>
                <w:color w:val="auto"/>
                <w:highlight w:val="none"/>
              </w:rPr>
            </w:pPr>
            <w:r>
              <w:rPr>
                <w:rFonts w:hint="eastAsia" w:ascii="宋体" w:hAnsi="宋体"/>
                <w:bCs/>
                <w:color w:val="auto"/>
                <w:highlight w:val="none"/>
              </w:rPr>
              <w:t>8</w:t>
            </w:r>
            <w:r>
              <w:rPr>
                <w:rFonts w:ascii="宋体" w:hAnsi="宋体"/>
                <w:bCs/>
                <w:color w:val="auto"/>
                <w:highlight w:val="none"/>
              </w:rPr>
              <w:t>.</w:t>
            </w:r>
            <w:r>
              <w:rPr>
                <w:rFonts w:hint="eastAsia" w:ascii="宋体" w:hAnsi="宋体"/>
                <w:bCs/>
                <w:color w:val="auto"/>
                <w:highlight w:val="none"/>
              </w:rPr>
              <w:t>实施方案</w:t>
            </w:r>
          </w:p>
        </w:tc>
        <w:tc>
          <w:tcPr>
            <w:tcW w:w="6381" w:type="dxa"/>
            <w:gridSpan w:val="2"/>
            <w:vAlign w:val="center"/>
          </w:tcPr>
          <w:p w14:paraId="710BEF13">
            <w:pPr>
              <w:rPr>
                <w:rFonts w:ascii="宋体" w:hAnsi="宋体"/>
                <w:bCs/>
                <w:color w:val="auto"/>
                <w:highlight w:val="none"/>
              </w:rPr>
            </w:pPr>
            <w:r>
              <w:rPr>
                <w:rFonts w:hint="eastAsia" w:ascii="宋体" w:hAnsi="宋体"/>
                <w:bCs/>
                <w:color w:val="auto"/>
                <w:highlight w:val="none"/>
              </w:rPr>
              <w:t>提供视力残疾儿童基本康复训练服务的具体实施方案一份</w:t>
            </w:r>
          </w:p>
        </w:tc>
        <w:tc>
          <w:tcPr>
            <w:tcW w:w="1275" w:type="dxa"/>
            <w:vAlign w:val="center"/>
          </w:tcPr>
          <w:p w14:paraId="71DFAF53">
            <w:pPr>
              <w:rPr>
                <w:rFonts w:ascii="宋体" w:hAnsi="宋体"/>
                <w:color w:val="auto"/>
                <w:highlight w:val="none"/>
              </w:rPr>
            </w:pPr>
          </w:p>
        </w:tc>
      </w:tr>
    </w:tbl>
    <w:p w14:paraId="557B6672">
      <w:pPr>
        <w:rPr>
          <w:b/>
          <w:bCs/>
          <w:color w:val="auto"/>
          <w:sz w:val="24"/>
          <w:szCs w:val="24"/>
          <w:highlight w:val="none"/>
        </w:rPr>
      </w:pPr>
      <w:r>
        <w:rPr>
          <w:rFonts w:hint="eastAsia"/>
          <w:b/>
          <w:bCs/>
          <w:color w:val="auto"/>
          <w:sz w:val="24"/>
          <w:szCs w:val="24"/>
          <w:highlight w:val="none"/>
        </w:rPr>
        <w:t>法定代表人或法定代表人授权代表签字或盖章：</w:t>
      </w:r>
    </w:p>
    <w:p w14:paraId="7A1608B7">
      <w:pPr>
        <w:rPr>
          <w:color w:val="auto"/>
          <w:sz w:val="24"/>
          <w:szCs w:val="24"/>
          <w:highlight w:val="none"/>
        </w:rPr>
      </w:pPr>
      <w:r>
        <w:rPr>
          <w:rFonts w:hint="eastAsia"/>
          <w:color w:val="auto"/>
          <w:sz w:val="24"/>
          <w:szCs w:val="24"/>
          <w:highlight w:val="none"/>
        </w:rPr>
        <w:t>注：其余资料可自行添加至此表，</w:t>
      </w:r>
      <w:r>
        <w:rPr>
          <w:color w:val="auto"/>
          <w:sz w:val="24"/>
          <w:szCs w:val="24"/>
          <w:highlight w:val="none"/>
        </w:rPr>
        <w:t>证明材料附在本表后</w:t>
      </w:r>
      <w:r>
        <w:rPr>
          <w:rFonts w:hint="eastAsia"/>
          <w:color w:val="auto"/>
          <w:sz w:val="24"/>
          <w:szCs w:val="24"/>
          <w:highlight w:val="none"/>
        </w:rPr>
        <w:t>。</w:t>
      </w:r>
    </w:p>
    <w:bookmarkEnd w:id="289"/>
    <w:p w14:paraId="4B05963B">
      <w:pPr>
        <w:spacing w:line="360" w:lineRule="auto"/>
        <w:rPr>
          <w:rFonts w:hint="eastAsia"/>
          <w:b/>
          <w:color w:val="auto"/>
          <w:sz w:val="28"/>
          <w:szCs w:val="28"/>
          <w:highlight w:val="none"/>
        </w:rPr>
      </w:pPr>
    </w:p>
    <w:p w14:paraId="53C11773">
      <w:pPr>
        <w:spacing w:line="360" w:lineRule="auto"/>
        <w:rPr>
          <w:b/>
          <w:color w:val="auto"/>
          <w:sz w:val="28"/>
          <w:szCs w:val="28"/>
          <w:highlight w:val="none"/>
        </w:rPr>
      </w:pPr>
    </w:p>
    <w:p w14:paraId="3CE244BE">
      <w:pPr>
        <w:spacing w:line="360" w:lineRule="auto"/>
        <w:rPr>
          <w:b/>
          <w:color w:val="auto"/>
          <w:sz w:val="28"/>
          <w:szCs w:val="28"/>
          <w:highlight w:val="none"/>
        </w:rPr>
      </w:pPr>
    </w:p>
    <w:p w14:paraId="4C52A5F6">
      <w:pPr>
        <w:jc w:val="center"/>
        <w:rPr>
          <w:rFonts w:ascii="仿宋" w:hAnsi="仿宋" w:eastAsia="仿宋" w:cs="宋体"/>
          <w:b/>
          <w:color w:val="auto"/>
          <w:sz w:val="32"/>
          <w:szCs w:val="32"/>
          <w:highlight w:val="none"/>
        </w:rPr>
      </w:pPr>
      <w:bookmarkStart w:id="309" w:name="OLE_LINK253"/>
      <w:bookmarkStart w:id="310" w:name="OLE_LINK252"/>
      <w:r>
        <w:rPr>
          <w:rFonts w:hint="eastAsia" w:ascii="仿宋" w:hAnsi="仿宋" w:eastAsia="仿宋" w:cs="宋体"/>
          <w:b/>
          <w:color w:val="auto"/>
          <w:sz w:val="32"/>
          <w:szCs w:val="32"/>
          <w:highlight w:val="none"/>
        </w:rPr>
        <w:t>（采购包二）听力（言语）残疾儿童基本康复训练服务</w:t>
      </w:r>
    </w:p>
    <w:p w14:paraId="19B5B206">
      <w:pPr>
        <w:rPr>
          <w:rFonts w:ascii="仿宋" w:hAnsi="仿宋" w:eastAsia="仿宋" w:cs="宋体"/>
          <w:b/>
          <w:color w:val="auto"/>
          <w:sz w:val="32"/>
          <w:szCs w:val="32"/>
          <w:highlight w:val="none"/>
        </w:rPr>
      </w:pPr>
      <w:r>
        <w:rPr>
          <w:rFonts w:hint="eastAsia" w:ascii="黑体" w:eastAsia="黑体"/>
          <w:bCs/>
          <w:color w:val="auto"/>
          <w:sz w:val="24"/>
          <w:szCs w:val="24"/>
          <w:highlight w:val="none"/>
        </w:rPr>
        <w:t xml:space="preserve">申请人名称（盖章）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ascii="黑体" w:eastAsia="黑体"/>
          <w:bCs/>
          <w:color w:val="auto"/>
          <w:sz w:val="24"/>
          <w:szCs w:val="24"/>
          <w:highlight w:val="none"/>
        </w:rPr>
        <w:t xml:space="preserve"> </w:t>
      </w:r>
    </w:p>
    <w:tbl>
      <w:tblPr>
        <w:tblStyle w:val="48"/>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826"/>
        <w:gridCol w:w="2555"/>
        <w:gridCol w:w="1275"/>
      </w:tblGrid>
      <w:tr w14:paraId="6769D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526" w:type="dxa"/>
            <w:vAlign w:val="center"/>
          </w:tcPr>
          <w:p w14:paraId="6A7B59FB">
            <w:pPr>
              <w:rPr>
                <w:rFonts w:ascii="宋体" w:hAnsi="宋体"/>
                <w:color w:val="auto"/>
                <w:highlight w:val="none"/>
              </w:rPr>
            </w:pPr>
            <w:r>
              <w:rPr>
                <w:rFonts w:ascii="宋体" w:hAnsi="宋体"/>
                <w:color w:val="auto"/>
                <w:highlight w:val="none"/>
              </w:rPr>
              <w:t>采购</w:t>
            </w:r>
            <w:r>
              <w:rPr>
                <w:rFonts w:hint="eastAsia" w:ascii="宋体" w:hAnsi="宋体"/>
                <w:color w:val="auto"/>
                <w:highlight w:val="none"/>
              </w:rPr>
              <w:t>需求</w:t>
            </w:r>
          </w:p>
        </w:tc>
        <w:tc>
          <w:tcPr>
            <w:tcW w:w="3826" w:type="dxa"/>
            <w:vAlign w:val="center"/>
          </w:tcPr>
          <w:p w14:paraId="1937EF2B">
            <w:pPr>
              <w:rPr>
                <w:rFonts w:ascii="宋体" w:hAnsi="宋体"/>
                <w:color w:val="auto"/>
                <w:highlight w:val="none"/>
              </w:rPr>
            </w:pPr>
            <w:r>
              <w:rPr>
                <w:rFonts w:hint="eastAsia" w:ascii="宋体" w:hAnsi="宋体"/>
                <w:color w:val="auto"/>
                <w:highlight w:val="none"/>
              </w:rPr>
              <w:t>详细要求</w:t>
            </w:r>
          </w:p>
        </w:tc>
        <w:tc>
          <w:tcPr>
            <w:tcW w:w="2555" w:type="dxa"/>
            <w:vAlign w:val="center"/>
          </w:tcPr>
          <w:p w14:paraId="11DEF733">
            <w:pPr>
              <w:rPr>
                <w:rFonts w:ascii="宋体" w:hAnsi="宋体"/>
                <w:color w:val="auto"/>
                <w:highlight w:val="none"/>
              </w:rPr>
            </w:pPr>
            <w:r>
              <w:rPr>
                <w:rFonts w:hint="eastAsia" w:ascii="宋体" w:hAnsi="宋体"/>
                <w:color w:val="auto"/>
                <w:highlight w:val="none"/>
              </w:rPr>
              <w:t>证明材料</w:t>
            </w:r>
          </w:p>
        </w:tc>
        <w:tc>
          <w:tcPr>
            <w:tcW w:w="1275" w:type="dxa"/>
            <w:vAlign w:val="center"/>
          </w:tcPr>
          <w:p w14:paraId="31BE2A4F">
            <w:pPr>
              <w:rPr>
                <w:rFonts w:ascii="宋体" w:hAnsi="宋体"/>
                <w:color w:val="auto"/>
                <w:highlight w:val="none"/>
              </w:rPr>
            </w:pPr>
            <w:r>
              <w:rPr>
                <w:rFonts w:hint="eastAsia" w:ascii="宋体" w:hAnsi="宋体"/>
                <w:color w:val="auto"/>
                <w:highlight w:val="none"/>
              </w:rPr>
              <w:t>证明材料（有/无）</w:t>
            </w:r>
          </w:p>
        </w:tc>
      </w:tr>
      <w:tr w14:paraId="288E2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526" w:type="dxa"/>
            <w:vMerge w:val="restart"/>
            <w:vAlign w:val="center"/>
          </w:tcPr>
          <w:p w14:paraId="6262D9A7">
            <w:pPr>
              <w:rPr>
                <w:rFonts w:ascii="宋体" w:hAnsi="宋体"/>
                <w:color w:val="auto"/>
                <w:highlight w:val="none"/>
              </w:rPr>
            </w:pPr>
            <w:bookmarkStart w:id="311" w:name="_Hlk214233390"/>
            <w:r>
              <w:rPr>
                <w:rFonts w:hint="eastAsia" w:ascii="宋体" w:hAnsi="宋体"/>
                <w:color w:val="auto"/>
                <w:highlight w:val="none"/>
              </w:rPr>
              <w:t>1</w:t>
            </w:r>
            <w:r>
              <w:rPr>
                <w:rFonts w:ascii="宋体" w:hAnsi="宋体"/>
                <w:color w:val="auto"/>
                <w:highlight w:val="none"/>
              </w:rPr>
              <w:t>.</w:t>
            </w:r>
            <w:r>
              <w:rPr>
                <w:rFonts w:hint="eastAsia" w:ascii="宋体" w:hAnsi="宋体"/>
                <w:color w:val="auto"/>
                <w:highlight w:val="none"/>
              </w:rPr>
              <w:t>建设要求</w:t>
            </w:r>
          </w:p>
        </w:tc>
        <w:tc>
          <w:tcPr>
            <w:tcW w:w="3826" w:type="dxa"/>
            <w:vAlign w:val="center"/>
          </w:tcPr>
          <w:p w14:paraId="0544D1AF">
            <w:pPr>
              <w:rPr>
                <w:rFonts w:ascii="宋体" w:hAnsi="宋体"/>
                <w:color w:val="auto"/>
                <w:highlight w:val="none"/>
              </w:rPr>
            </w:pPr>
            <w:r>
              <w:rPr>
                <w:rFonts w:hint="eastAsia" w:ascii="宋体" w:hAnsi="宋体"/>
                <w:color w:val="auto"/>
                <w:highlight w:val="none"/>
              </w:rPr>
              <w:t>本地</w:t>
            </w:r>
            <w:r>
              <w:rPr>
                <w:rFonts w:ascii="宋体" w:hAnsi="宋体"/>
                <w:color w:val="auto"/>
                <w:highlight w:val="none"/>
              </w:rPr>
              <w:t>训练场所</w:t>
            </w:r>
            <w:r>
              <w:rPr>
                <w:rFonts w:hint="eastAsia" w:ascii="宋体" w:hAnsi="宋体"/>
                <w:color w:val="auto"/>
                <w:highlight w:val="none"/>
              </w:rPr>
              <w:t>总建筑面积不少于80平方米</w:t>
            </w:r>
          </w:p>
        </w:tc>
        <w:tc>
          <w:tcPr>
            <w:tcW w:w="2555" w:type="dxa"/>
            <w:vMerge w:val="restart"/>
            <w:vAlign w:val="center"/>
          </w:tcPr>
          <w:p w14:paraId="3C2CDD46">
            <w:pPr>
              <w:rPr>
                <w:rFonts w:asciiTheme="minorEastAsia" w:hAnsiTheme="minorEastAsia" w:eastAsiaTheme="minorEastAsia"/>
                <w:color w:val="auto"/>
                <w:highlight w:val="none"/>
              </w:rPr>
            </w:pPr>
            <w:r>
              <w:rPr>
                <w:rFonts w:hint="eastAsia" w:cs="宋体" w:asciiTheme="minorEastAsia" w:hAnsiTheme="minorEastAsia" w:eastAsiaTheme="minorEastAsia"/>
                <w:snapToGrid w:val="0"/>
                <w:color w:val="auto"/>
                <w:highlight w:val="none"/>
              </w:rPr>
              <w:t>提供房产证或租赁协议，若为租赁协议另需提供房主房产证或其他有效的产权证明，外部环境和内部场所照片及介绍文字</w:t>
            </w:r>
          </w:p>
        </w:tc>
        <w:tc>
          <w:tcPr>
            <w:tcW w:w="1275" w:type="dxa"/>
            <w:vAlign w:val="center"/>
          </w:tcPr>
          <w:p w14:paraId="203190D6">
            <w:pPr>
              <w:rPr>
                <w:rFonts w:ascii="宋体" w:hAnsi="宋体"/>
                <w:color w:val="auto"/>
                <w:highlight w:val="none"/>
              </w:rPr>
            </w:pPr>
          </w:p>
        </w:tc>
      </w:tr>
      <w:tr w14:paraId="580A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1526" w:type="dxa"/>
            <w:vMerge w:val="continue"/>
            <w:vAlign w:val="center"/>
          </w:tcPr>
          <w:p w14:paraId="6FF01E92">
            <w:pPr>
              <w:rPr>
                <w:rFonts w:ascii="宋体" w:hAnsi="宋体"/>
                <w:color w:val="auto"/>
                <w:highlight w:val="none"/>
              </w:rPr>
            </w:pPr>
          </w:p>
        </w:tc>
        <w:tc>
          <w:tcPr>
            <w:tcW w:w="3826" w:type="dxa"/>
            <w:vAlign w:val="center"/>
          </w:tcPr>
          <w:p w14:paraId="69D1BB2D">
            <w:pPr>
              <w:rPr>
                <w:rFonts w:ascii="宋体" w:hAnsi="宋体"/>
                <w:color w:val="auto"/>
                <w:highlight w:val="none"/>
              </w:rPr>
            </w:pPr>
            <w:r>
              <w:rPr>
                <w:rFonts w:hint="eastAsia" w:ascii="宋体" w:hAnsi="宋体"/>
                <w:color w:val="auto"/>
                <w:highlight w:val="none"/>
              </w:rPr>
              <w:t>业务用房不少于48平方米</w:t>
            </w:r>
          </w:p>
        </w:tc>
        <w:tc>
          <w:tcPr>
            <w:tcW w:w="2555" w:type="dxa"/>
            <w:vMerge w:val="continue"/>
            <w:vAlign w:val="center"/>
          </w:tcPr>
          <w:p w14:paraId="2E069C05">
            <w:pPr>
              <w:rPr>
                <w:rFonts w:ascii="宋体" w:hAnsi="宋体"/>
                <w:color w:val="auto"/>
                <w:highlight w:val="none"/>
              </w:rPr>
            </w:pPr>
          </w:p>
        </w:tc>
        <w:tc>
          <w:tcPr>
            <w:tcW w:w="1275" w:type="dxa"/>
            <w:vAlign w:val="center"/>
          </w:tcPr>
          <w:p w14:paraId="4E9C2A28">
            <w:pPr>
              <w:rPr>
                <w:rFonts w:ascii="宋体" w:hAnsi="宋体"/>
                <w:color w:val="auto"/>
                <w:highlight w:val="none"/>
              </w:rPr>
            </w:pPr>
          </w:p>
        </w:tc>
      </w:tr>
      <w:tr w14:paraId="6F36D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526" w:type="dxa"/>
            <w:vMerge w:val="continue"/>
            <w:vAlign w:val="center"/>
          </w:tcPr>
          <w:p w14:paraId="175A77E9">
            <w:pPr>
              <w:rPr>
                <w:rFonts w:ascii="宋体" w:hAnsi="宋体"/>
                <w:color w:val="auto"/>
                <w:highlight w:val="none"/>
              </w:rPr>
            </w:pPr>
          </w:p>
        </w:tc>
        <w:tc>
          <w:tcPr>
            <w:tcW w:w="3826" w:type="dxa"/>
            <w:vAlign w:val="center"/>
          </w:tcPr>
          <w:p w14:paraId="04B6DD78">
            <w:pPr>
              <w:rPr>
                <w:rFonts w:ascii="宋体" w:hAnsi="宋体"/>
                <w:color w:val="auto"/>
                <w:highlight w:val="none"/>
              </w:rPr>
            </w:pPr>
            <w:r>
              <w:rPr>
                <w:rFonts w:hint="eastAsia" w:ascii="宋体" w:hAnsi="宋体"/>
                <w:color w:val="auto"/>
                <w:highlight w:val="none"/>
              </w:rPr>
              <w:t>本地训练场所应在三层及以下的非地下室，符合国家无障碍通行要求</w:t>
            </w:r>
          </w:p>
        </w:tc>
        <w:tc>
          <w:tcPr>
            <w:tcW w:w="2555" w:type="dxa"/>
            <w:vMerge w:val="continue"/>
            <w:vAlign w:val="center"/>
          </w:tcPr>
          <w:p w14:paraId="765B046E">
            <w:pPr>
              <w:rPr>
                <w:rFonts w:ascii="宋体" w:hAnsi="宋体"/>
                <w:color w:val="auto"/>
                <w:highlight w:val="none"/>
              </w:rPr>
            </w:pPr>
          </w:p>
        </w:tc>
        <w:tc>
          <w:tcPr>
            <w:tcW w:w="1275" w:type="dxa"/>
            <w:vAlign w:val="center"/>
          </w:tcPr>
          <w:p w14:paraId="1CC5E6E0">
            <w:pPr>
              <w:rPr>
                <w:rFonts w:ascii="宋体" w:hAnsi="宋体"/>
                <w:color w:val="auto"/>
                <w:highlight w:val="none"/>
              </w:rPr>
            </w:pPr>
          </w:p>
        </w:tc>
      </w:tr>
      <w:bookmarkEnd w:id="311"/>
      <w:tr w14:paraId="3674C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526" w:type="dxa"/>
            <w:vMerge w:val="restart"/>
            <w:vAlign w:val="center"/>
          </w:tcPr>
          <w:p w14:paraId="26CAB548">
            <w:pPr>
              <w:rPr>
                <w:rFonts w:ascii="宋体" w:hAnsi="宋体"/>
                <w:color w:val="auto"/>
                <w:highlight w:val="none"/>
              </w:rPr>
            </w:pPr>
            <w:r>
              <w:rPr>
                <w:rFonts w:hint="eastAsia" w:ascii="宋体" w:hAnsi="宋体"/>
                <w:color w:val="auto"/>
                <w:highlight w:val="none"/>
              </w:rPr>
              <w:t>2</w:t>
            </w:r>
            <w:r>
              <w:rPr>
                <w:rFonts w:ascii="宋体" w:hAnsi="宋体"/>
                <w:color w:val="auto"/>
                <w:highlight w:val="none"/>
              </w:rPr>
              <w:t>.</w:t>
            </w:r>
            <w:r>
              <w:rPr>
                <w:rFonts w:hint="eastAsia" w:ascii="宋体" w:hAnsi="宋体"/>
                <w:color w:val="auto"/>
                <w:highlight w:val="none"/>
              </w:rPr>
              <w:t>训练场地</w:t>
            </w:r>
          </w:p>
        </w:tc>
        <w:tc>
          <w:tcPr>
            <w:tcW w:w="3826" w:type="dxa"/>
            <w:vAlign w:val="center"/>
          </w:tcPr>
          <w:p w14:paraId="49994D2B">
            <w:pPr>
              <w:rPr>
                <w:rFonts w:ascii="宋体" w:hAnsi="宋体"/>
                <w:color w:val="auto"/>
                <w:highlight w:val="none"/>
              </w:rPr>
            </w:pPr>
            <w:r>
              <w:rPr>
                <w:rFonts w:hint="eastAsia" w:ascii="宋体" w:hAnsi="宋体"/>
                <w:color w:val="auto"/>
                <w:highlight w:val="none"/>
              </w:rPr>
              <w:t>设置至少1间测听室，面积不少于6平方米</w:t>
            </w:r>
          </w:p>
        </w:tc>
        <w:tc>
          <w:tcPr>
            <w:tcW w:w="2555" w:type="dxa"/>
            <w:vMerge w:val="restart"/>
            <w:vAlign w:val="center"/>
          </w:tcPr>
          <w:p w14:paraId="19324570">
            <w:pPr>
              <w:rPr>
                <w:rFonts w:cs="宋体" w:asciiTheme="minorEastAsia" w:hAnsiTheme="minorEastAsia" w:eastAsiaTheme="minorEastAsia"/>
                <w:snapToGrid w:val="0"/>
                <w:color w:val="auto"/>
                <w:highlight w:val="none"/>
              </w:rPr>
            </w:pPr>
            <w:bookmarkStart w:id="312" w:name="OLE_LINK216"/>
            <w:bookmarkStart w:id="313" w:name="OLE_LINK215"/>
            <w:r>
              <w:rPr>
                <w:rFonts w:hint="eastAsia" w:cs="宋体" w:asciiTheme="minorEastAsia" w:hAnsiTheme="minorEastAsia" w:eastAsiaTheme="minorEastAsia"/>
                <w:snapToGrid w:val="0"/>
                <w:color w:val="auto"/>
                <w:highlight w:val="none"/>
              </w:rPr>
              <w:t>提供场所平面图并标注出各种功能室，提供各功能室及必须设备的照片</w:t>
            </w:r>
            <w:bookmarkEnd w:id="312"/>
            <w:bookmarkEnd w:id="313"/>
          </w:p>
        </w:tc>
        <w:tc>
          <w:tcPr>
            <w:tcW w:w="1275" w:type="dxa"/>
            <w:vAlign w:val="center"/>
          </w:tcPr>
          <w:p w14:paraId="389E92DC">
            <w:pPr>
              <w:rPr>
                <w:rFonts w:ascii="宋体" w:hAnsi="宋体"/>
                <w:color w:val="auto"/>
                <w:highlight w:val="none"/>
              </w:rPr>
            </w:pPr>
          </w:p>
        </w:tc>
      </w:tr>
      <w:tr w14:paraId="5EFBF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526" w:type="dxa"/>
            <w:vMerge w:val="continue"/>
            <w:vAlign w:val="center"/>
          </w:tcPr>
          <w:p w14:paraId="39C6D48B">
            <w:pPr>
              <w:rPr>
                <w:rFonts w:ascii="宋体" w:hAnsi="宋体"/>
                <w:color w:val="auto"/>
                <w:highlight w:val="none"/>
              </w:rPr>
            </w:pPr>
          </w:p>
        </w:tc>
        <w:tc>
          <w:tcPr>
            <w:tcW w:w="3826" w:type="dxa"/>
            <w:vAlign w:val="center"/>
          </w:tcPr>
          <w:p w14:paraId="1BD49CD5">
            <w:pPr>
              <w:rPr>
                <w:rFonts w:ascii="宋体" w:hAnsi="宋体"/>
                <w:color w:val="auto"/>
                <w:highlight w:val="none"/>
              </w:rPr>
            </w:pPr>
            <w:r>
              <w:rPr>
                <w:rFonts w:hint="eastAsia" w:ascii="宋体" w:hAnsi="宋体"/>
                <w:color w:val="auto"/>
                <w:highlight w:val="none"/>
              </w:rPr>
              <w:t>设置至少1间个训教室，每间面积不少于8平方米，室内配有听能检测保养包</w:t>
            </w:r>
          </w:p>
        </w:tc>
        <w:tc>
          <w:tcPr>
            <w:tcW w:w="2555" w:type="dxa"/>
            <w:vMerge w:val="continue"/>
            <w:vAlign w:val="center"/>
          </w:tcPr>
          <w:p w14:paraId="46916408">
            <w:pPr>
              <w:rPr>
                <w:rFonts w:ascii="宋体" w:hAnsi="宋体"/>
                <w:color w:val="auto"/>
                <w:highlight w:val="none"/>
              </w:rPr>
            </w:pPr>
          </w:p>
        </w:tc>
        <w:tc>
          <w:tcPr>
            <w:tcW w:w="1275" w:type="dxa"/>
            <w:vAlign w:val="center"/>
          </w:tcPr>
          <w:p w14:paraId="52B759C7">
            <w:pPr>
              <w:rPr>
                <w:rFonts w:ascii="宋体" w:hAnsi="宋体"/>
                <w:color w:val="auto"/>
                <w:highlight w:val="none"/>
              </w:rPr>
            </w:pPr>
          </w:p>
        </w:tc>
      </w:tr>
      <w:tr w14:paraId="7F07D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04290E03">
            <w:pPr>
              <w:rPr>
                <w:rFonts w:ascii="宋体" w:hAnsi="宋体"/>
                <w:color w:val="auto"/>
                <w:highlight w:val="none"/>
              </w:rPr>
            </w:pPr>
          </w:p>
        </w:tc>
        <w:tc>
          <w:tcPr>
            <w:tcW w:w="3826" w:type="dxa"/>
            <w:vAlign w:val="center"/>
          </w:tcPr>
          <w:p w14:paraId="360B3479">
            <w:pPr>
              <w:rPr>
                <w:rFonts w:ascii="宋体" w:hAnsi="宋体"/>
                <w:color w:val="auto"/>
                <w:highlight w:val="none"/>
              </w:rPr>
            </w:pPr>
            <w:r>
              <w:rPr>
                <w:rFonts w:hint="eastAsia" w:ascii="宋体" w:hAnsi="宋体"/>
                <w:color w:val="auto"/>
                <w:highlight w:val="none"/>
              </w:rPr>
              <w:t>设置至少1间集体教室</w:t>
            </w:r>
          </w:p>
        </w:tc>
        <w:tc>
          <w:tcPr>
            <w:tcW w:w="2555" w:type="dxa"/>
            <w:vMerge w:val="continue"/>
            <w:vAlign w:val="center"/>
          </w:tcPr>
          <w:p w14:paraId="66E8E650">
            <w:pPr>
              <w:rPr>
                <w:rFonts w:ascii="宋体" w:hAnsi="宋体"/>
                <w:color w:val="auto"/>
                <w:highlight w:val="none"/>
              </w:rPr>
            </w:pPr>
          </w:p>
        </w:tc>
        <w:tc>
          <w:tcPr>
            <w:tcW w:w="1275" w:type="dxa"/>
            <w:vAlign w:val="center"/>
          </w:tcPr>
          <w:p w14:paraId="0FD87B88">
            <w:pPr>
              <w:rPr>
                <w:rFonts w:ascii="宋体" w:hAnsi="宋体"/>
                <w:color w:val="auto"/>
                <w:highlight w:val="none"/>
              </w:rPr>
            </w:pPr>
          </w:p>
        </w:tc>
      </w:tr>
      <w:tr w14:paraId="2D867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27ACA971">
            <w:pPr>
              <w:rPr>
                <w:rFonts w:ascii="宋体" w:hAnsi="宋体"/>
                <w:color w:val="auto"/>
                <w:highlight w:val="none"/>
              </w:rPr>
            </w:pPr>
          </w:p>
        </w:tc>
        <w:tc>
          <w:tcPr>
            <w:tcW w:w="3826" w:type="dxa"/>
            <w:vAlign w:val="center"/>
          </w:tcPr>
          <w:p w14:paraId="25ED0CB3">
            <w:pPr>
              <w:rPr>
                <w:rFonts w:ascii="宋体" w:hAnsi="宋体"/>
                <w:color w:val="auto"/>
                <w:highlight w:val="none"/>
              </w:rPr>
            </w:pPr>
            <w:r>
              <w:rPr>
                <w:rFonts w:hint="eastAsia" w:ascii="宋体" w:hAnsi="宋体"/>
                <w:color w:val="auto"/>
                <w:highlight w:val="none"/>
              </w:rPr>
              <w:t>有独立的室外活动场地，设有安全提示标志和安全设施，确保无安全隐患</w:t>
            </w:r>
          </w:p>
        </w:tc>
        <w:tc>
          <w:tcPr>
            <w:tcW w:w="2555" w:type="dxa"/>
            <w:vMerge w:val="continue"/>
            <w:vAlign w:val="center"/>
          </w:tcPr>
          <w:p w14:paraId="120CEECB">
            <w:pPr>
              <w:rPr>
                <w:rFonts w:ascii="宋体" w:hAnsi="宋体"/>
                <w:color w:val="auto"/>
                <w:highlight w:val="none"/>
              </w:rPr>
            </w:pPr>
          </w:p>
        </w:tc>
        <w:tc>
          <w:tcPr>
            <w:tcW w:w="1275" w:type="dxa"/>
            <w:vAlign w:val="center"/>
          </w:tcPr>
          <w:p w14:paraId="1531AB54">
            <w:pPr>
              <w:rPr>
                <w:rFonts w:ascii="宋体" w:hAnsi="宋体"/>
                <w:color w:val="auto"/>
                <w:highlight w:val="none"/>
              </w:rPr>
            </w:pPr>
          </w:p>
        </w:tc>
      </w:tr>
      <w:tr w14:paraId="2E00F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restart"/>
            <w:vAlign w:val="center"/>
          </w:tcPr>
          <w:p w14:paraId="6BA43C39">
            <w:pPr>
              <w:rPr>
                <w:rFonts w:ascii="宋体" w:hAnsi="宋体"/>
                <w:color w:val="auto"/>
                <w:highlight w:val="none"/>
              </w:rPr>
            </w:pPr>
            <w:r>
              <w:rPr>
                <w:rFonts w:hint="eastAsia" w:ascii="宋体" w:hAnsi="宋体"/>
                <w:color w:val="auto"/>
                <w:highlight w:val="none"/>
              </w:rPr>
              <w:t>3.</w:t>
            </w:r>
            <w:r>
              <w:rPr>
                <w:rFonts w:ascii="宋体" w:hAnsi="宋体"/>
                <w:color w:val="auto"/>
                <w:highlight w:val="none"/>
              </w:rPr>
              <w:t xml:space="preserve"> </w:t>
            </w:r>
            <w:r>
              <w:rPr>
                <w:rFonts w:hint="eastAsia" w:ascii="宋体" w:hAnsi="宋体"/>
                <w:color w:val="auto"/>
                <w:highlight w:val="none"/>
              </w:rPr>
              <w:t>训练设备</w:t>
            </w:r>
          </w:p>
        </w:tc>
        <w:tc>
          <w:tcPr>
            <w:tcW w:w="3826" w:type="dxa"/>
            <w:vAlign w:val="center"/>
          </w:tcPr>
          <w:p w14:paraId="16A7496D">
            <w:pPr>
              <w:rPr>
                <w:rFonts w:ascii="宋体" w:hAnsi="宋体"/>
                <w:color w:val="auto"/>
                <w:highlight w:val="none"/>
              </w:rPr>
            </w:pPr>
            <w:r>
              <w:rPr>
                <w:rFonts w:hint="eastAsia" w:ascii="宋体" w:hAnsi="宋体"/>
                <w:color w:val="auto"/>
                <w:highlight w:val="none"/>
              </w:rPr>
              <w:t>康复评估设备：包括听觉言语康复评估工具、言语听觉反应评估工具、希－内学习能力测验、格雷费斯智力测验、言语功能评估仪等，至少配备2种</w:t>
            </w:r>
          </w:p>
        </w:tc>
        <w:tc>
          <w:tcPr>
            <w:tcW w:w="2555" w:type="dxa"/>
            <w:vMerge w:val="restart"/>
            <w:vAlign w:val="center"/>
          </w:tcPr>
          <w:p w14:paraId="2AB891AC">
            <w:pPr>
              <w:rPr>
                <w:rFonts w:ascii="宋体" w:hAnsi="宋体"/>
                <w:bCs/>
                <w:color w:val="auto"/>
                <w:highlight w:val="none"/>
              </w:rPr>
            </w:pPr>
            <w:r>
              <w:rPr>
                <w:rFonts w:hint="eastAsia" w:ascii="宋体" w:hAnsi="宋体"/>
                <w:bCs/>
                <w:color w:val="auto"/>
                <w:highlight w:val="none"/>
              </w:rPr>
              <w:t>提供清单及使用过程中的照片</w:t>
            </w:r>
          </w:p>
        </w:tc>
        <w:tc>
          <w:tcPr>
            <w:tcW w:w="1275" w:type="dxa"/>
            <w:vAlign w:val="center"/>
          </w:tcPr>
          <w:p w14:paraId="05B93A5F">
            <w:pPr>
              <w:rPr>
                <w:rFonts w:ascii="宋体" w:hAnsi="宋体"/>
                <w:color w:val="auto"/>
                <w:highlight w:val="none"/>
              </w:rPr>
            </w:pPr>
          </w:p>
        </w:tc>
      </w:tr>
      <w:tr w14:paraId="64A28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76BEE3B3">
            <w:pPr>
              <w:rPr>
                <w:rFonts w:ascii="宋体" w:hAnsi="宋体"/>
                <w:color w:val="auto"/>
                <w:highlight w:val="none"/>
              </w:rPr>
            </w:pPr>
          </w:p>
        </w:tc>
        <w:tc>
          <w:tcPr>
            <w:tcW w:w="3826" w:type="dxa"/>
            <w:vAlign w:val="center"/>
          </w:tcPr>
          <w:p w14:paraId="143252ED">
            <w:pPr>
              <w:rPr>
                <w:rFonts w:ascii="宋体" w:hAnsi="宋体"/>
                <w:color w:val="auto"/>
                <w:highlight w:val="none"/>
              </w:rPr>
            </w:pPr>
            <w:r>
              <w:rPr>
                <w:rFonts w:hint="eastAsia" w:ascii="宋体" w:hAnsi="宋体"/>
                <w:color w:val="auto"/>
                <w:highlight w:val="none"/>
              </w:rPr>
              <w:t>听力学设备：听能保养包、助听器保养工具、听力计、视觉强化测听设备、听觉评估仪、测听玩具、电耳镜、简易声级计等</w:t>
            </w:r>
          </w:p>
        </w:tc>
        <w:tc>
          <w:tcPr>
            <w:tcW w:w="2555" w:type="dxa"/>
            <w:vMerge w:val="continue"/>
            <w:vAlign w:val="center"/>
          </w:tcPr>
          <w:p w14:paraId="69A3FC2D">
            <w:pPr>
              <w:rPr>
                <w:rFonts w:ascii="宋体" w:hAnsi="宋体"/>
                <w:bCs/>
                <w:color w:val="auto"/>
                <w:highlight w:val="none"/>
              </w:rPr>
            </w:pPr>
          </w:p>
        </w:tc>
        <w:tc>
          <w:tcPr>
            <w:tcW w:w="1275" w:type="dxa"/>
            <w:vAlign w:val="center"/>
          </w:tcPr>
          <w:p w14:paraId="530E3F63">
            <w:pPr>
              <w:rPr>
                <w:rFonts w:ascii="宋体" w:hAnsi="宋体"/>
                <w:color w:val="auto"/>
                <w:highlight w:val="none"/>
              </w:rPr>
            </w:pPr>
          </w:p>
        </w:tc>
      </w:tr>
      <w:tr w14:paraId="58F80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4A4E8CDF">
            <w:pPr>
              <w:rPr>
                <w:rFonts w:ascii="宋体" w:hAnsi="宋体"/>
                <w:color w:val="auto"/>
                <w:highlight w:val="none"/>
              </w:rPr>
            </w:pPr>
          </w:p>
        </w:tc>
        <w:tc>
          <w:tcPr>
            <w:tcW w:w="3826" w:type="dxa"/>
            <w:vAlign w:val="center"/>
          </w:tcPr>
          <w:p w14:paraId="427F2A24">
            <w:pPr>
              <w:rPr>
                <w:rFonts w:ascii="宋体" w:hAnsi="宋体"/>
                <w:color w:val="auto"/>
                <w:highlight w:val="none"/>
              </w:rPr>
            </w:pPr>
            <w:r>
              <w:rPr>
                <w:rFonts w:hint="eastAsia" w:ascii="宋体" w:hAnsi="宋体"/>
                <w:color w:val="auto"/>
                <w:highlight w:val="none"/>
              </w:rPr>
              <w:t>康复训练与教学设备：打击乐器、可发声玩教具、言语康复训练系统用品用具、听觉干预系统用品用具、电脑、电视机、投影仪、电子琴（钢琴）、幼儿园教材、听力（言语）残疾儿童康复训练系列教材、教育类图书、体育活动器材等。配备适合听力障碍儿童特点的教玩具，至少配备80件符合听力障碍儿童训练特点的各类玩具和图书。</w:t>
            </w:r>
          </w:p>
        </w:tc>
        <w:tc>
          <w:tcPr>
            <w:tcW w:w="2555" w:type="dxa"/>
            <w:vMerge w:val="continue"/>
            <w:vAlign w:val="center"/>
          </w:tcPr>
          <w:p w14:paraId="23808CD5">
            <w:pPr>
              <w:rPr>
                <w:rFonts w:ascii="宋体" w:hAnsi="宋体"/>
                <w:bCs/>
                <w:color w:val="auto"/>
                <w:highlight w:val="none"/>
              </w:rPr>
            </w:pPr>
          </w:p>
        </w:tc>
        <w:tc>
          <w:tcPr>
            <w:tcW w:w="1275" w:type="dxa"/>
            <w:vAlign w:val="center"/>
          </w:tcPr>
          <w:p w14:paraId="15A7947C">
            <w:pPr>
              <w:rPr>
                <w:rFonts w:ascii="宋体" w:hAnsi="宋体"/>
                <w:color w:val="auto"/>
                <w:highlight w:val="none"/>
              </w:rPr>
            </w:pPr>
          </w:p>
        </w:tc>
      </w:tr>
      <w:tr w14:paraId="4E30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restart"/>
            <w:vAlign w:val="center"/>
          </w:tcPr>
          <w:p w14:paraId="5ECC1F7D">
            <w:pPr>
              <w:rPr>
                <w:rFonts w:ascii="宋体" w:hAnsi="宋体"/>
                <w:color w:val="auto"/>
                <w:highlight w:val="none"/>
              </w:rPr>
            </w:pPr>
            <w:r>
              <w:rPr>
                <w:rFonts w:hint="eastAsia" w:ascii="宋体" w:hAnsi="宋体"/>
                <w:bCs/>
                <w:color w:val="auto"/>
                <w:highlight w:val="none"/>
              </w:rPr>
              <w:t>4.</w:t>
            </w:r>
            <w:r>
              <w:rPr>
                <w:rFonts w:ascii="宋体" w:hAnsi="宋体"/>
                <w:bCs/>
                <w:color w:val="auto"/>
                <w:highlight w:val="none"/>
              </w:rPr>
              <w:t xml:space="preserve"> </w:t>
            </w:r>
            <w:r>
              <w:rPr>
                <w:rFonts w:hint="eastAsia" w:ascii="宋体" w:hAnsi="宋体"/>
                <w:bCs/>
                <w:color w:val="auto"/>
                <w:highlight w:val="none"/>
              </w:rPr>
              <w:t>人员配备</w:t>
            </w:r>
          </w:p>
        </w:tc>
        <w:tc>
          <w:tcPr>
            <w:tcW w:w="3826" w:type="dxa"/>
            <w:vAlign w:val="center"/>
          </w:tcPr>
          <w:p w14:paraId="57E0E30A">
            <w:pPr>
              <w:rPr>
                <w:rFonts w:ascii="宋体" w:hAnsi="宋体"/>
                <w:color w:val="auto"/>
                <w:highlight w:val="none"/>
              </w:rPr>
            </w:pPr>
            <w:r>
              <w:rPr>
                <w:rFonts w:hint="eastAsia" w:ascii="宋体" w:hAnsi="宋体"/>
                <w:bCs/>
                <w:color w:val="auto"/>
                <w:highlight w:val="none"/>
              </w:rPr>
              <w:t>至少配备</w:t>
            </w:r>
            <w:r>
              <w:rPr>
                <w:rFonts w:ascii="宋体" w:hAnsi="宋体"/>
                <w:bCs/>
                <w:color w:val="auto"/>
                <w:highlight w:val="none"/>
              </w:rPr>
              <w:t>1</w:t>
            </w:r>
            <w:r>
              <w:rPr>
                <w:rFonts w:hint="eastAsia" w:ascii="宋体" w:hAnsi="宋体"/>
                <w:bCs/>
                <w:color w:val="auto"/>
                <w:highlight w:val="none"/>
              </w:rPr>
              <w:t>名业务主管。</w:t>
            </w:r>
          </w:p>
        </w:tc>
        <w:tc>
          <w:tcPr>
            <w:tcW w:w="2555" w:type="dxa"/>
            <w:vMerge w:val="restart"/>
            <w:vAlign w:val="center"/>
          </w:tcPr>
          <w:p w14:paraId="6972CE4C">
            <w:pPr>
              <w:rPr>
                <w:rFonts w:ascii="宋体" w:hAnsi="宋体"/>
                <w:bCs/>
                <w:color w:val="auto"/>
                <w:highlight w:val="none"/>
              </w:rPr>
            </w:pPr>
            <w:r>
              <w:rPr>
                <w:rFonts w:hint="eastAsia" w:ascii="宋体" w:hAnsi="宋体"/>
                <w:bCs/>
                <w:color w:val="auto"/>
                <w:highlight w:val="none"/>
              </w:rPr>
              <w:t>提供《项目人员配置清单》（见附件1），并按要求提供证明材料（人员资格证书、申请人近三个月中任意一个月份（不含征集当月）为其缴纳社保的证明、健康检查合格证明或体检报告，公办机构的编外劳务派遣专业技术人员的另需提供第三方劳务派遣协议等证明资料），同时申请其他类别的，项目人员配置不得重复。</w:t>
            </w:r>
          </w:p>
        </w:tc>
        <w:tc>
          <w:tcPr>
            <w:tcW w:w="1275" w:type="dxa"/>
            <w:vAlign w:val="center"/>
          </w:tcPr>
          <w:p w14:paraId="74612760">
            <w:pPr>
              <w:rPr>
                <w:rFonts w:ascii="宋体" w:hAnsi="宋体"/>
                <w:color w:val="auto"/>
                <w:highlight w:val="none"/>
              </w:rPr>
            </w:pPr>
          </w:p>
        </w:tc>
      </w:tr>
      <w:tr w14:paraId="32F6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526" w:type="dxa"/>
            <w:vMerge w:val="continue"/>
            <w:vAlign w:val="center"/>
          </w:tcPr>
          <w:p w14:paraId="7CBF17C2">
            <w:pPr>
              <w:rPr>
                <w:rFonts w:ascii="宋体" w:hAnsi="宋体"/>
                <w:color w:val="auto"/>
                <w:highlight w:val="none"/>
              </w:rPr>
            </w:pPr>
          </w:p>
        </w:tc>
        <w:tc>
          <w:tcPr>
            <w:tcW w:w="3826" w:type="dxa"/>
            <w:vAlign w:val="center"/>
          </w:tcPr>
          <w:p w14:paraId="49FF5E05">
            <w:pPr>
              <w:rPr>
                <w:rFonts w:ascii="宋体" w:hAnsi="宋体"/>
                <w:bCs/>
                <w:color w:val="auto"/>
                <w:highlight w:val="none"/>
              </w:rPr>
            </w:pPr>
            <w:r>
              <w:rPr>
                <w:rFonts w:hint="eastAsia" w:ascii="宋体" w:hAnsi="宋体"/>
                <w:bCs/>
                <w:color w:val="auto"/>
                <w:highlight w:val="none"/>
              </w:rPr>
              <w:t>医疗类机构：至少配备1名耳鼻喉科执业医生，执业地点注册在本机构，至少配备2名听力言语康复治疗师或教师。教育类机构：至少配备1名听能康复服务人员，至少配备2名听觉口语康复教师或学前教育老师或特殊教育教师。</w:t>
            </w:r>
          </w:p>
        </w:tc>
        <w:tc>
          <w:tcPr>
            <w:tcW w:w="2555" w:type="dxa"/>
            <w:vMerge w:val="continue"/>
            <w:vAlign w:val="center"/>
          </w:tcPr>
          <w:p w14:paraId="64C6B8E9">
            <w:pPr>
              <w:rPr>
                <w:rFonts w:ascii="宋体" w:hAnsi="宋体"/>
                <w:bCs/>
                <w:color w:val="auto"/>
                <w:highlight w:val="none"/>
              </w:rPr>
            </w:pPr>
          </w:p>
        </w:tc>
        <w:tc>
          <w:tcPr>
            <w:tcW w:w="1275" w:type="dxa"/>
            <w:vAlign w:val="center"/>
          </w:tcPr>
          <w:p w14:paraId="36B0AD58">
            <w:pPr>
              <w:rPr>
                <w:rFonts w:ascii="宋体" w:hAnsi="宋体"/>
                <w:color w:val="auto"/>
                <w:highlight w:val="none"/>
              </w:rPr>
            </w:pPr>
          </w:p>
        </w:tc>
      </w:tr>
      <w:tr w14:paraId="3A8FC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0B6A0791">
            <w:pPr>
              <w:rPr>
                <w:rFonts w:ascii="宋体" w:hAnsi="宋体"/>
                <w:color w:val="auto"/>
                <w:highlight w:val="none"/>
              </w:rPr>
            </w:pPr>
          </w:p>
        </w:tc>
        <w:tc>
          <w:tcPr>
            <w:tcW w:w="3826" w:type="dxa"/>
            <w:vAlign w:val="center"/>
          </w:tcPr>
          <w:p w14:paraId="7DB0F062">
            <w:pPr>
              <w:rPr>
                <w:rFonts w:ascii="宋体" w:hAnsi="宋体"/>
                <w:color w:val="auto"/>
                <w:highlight w:val="none"/>
              </w:rPr>
            </w:pPr>
            <w:r>
              <w:rPr>
                <w:rFonts w:hint="eastAsia" w:ascii="宋体" w:hAnsi="宋体"/>
                <w:bCs/>
                <w:color w:val="auto"/>
                <w:highlight w:val="none"/>
              </w:rPr>
              <w:t>上述专业技术人员均应在本单位缴纳社会保险，均应取得健康证明</w:t>
            </w:r>
          </w:p>
        </w:tc>
        <w:tc>
          <w:tcPr>
            <w:tcW w:w="2555" w:type="dxa"/>
            <w:vMerge w:val="continue"/>
            <w:vAlign w:val="center"/>
          </w:tcPr>
          <w:p w14:paraId="0802CDFA">
            <w:pPr>
              <w:rPr>
                <w:rFonts w:ascii="宋体" w:hAnsi="宋体"/>
                <w:bCs/>
                <w:color w:val="auto"/>
                <w:highlight w:val="none"/>
              </w:rPr>
            </w:pPr>
          </w:p>
        </w:tc>
        <w:tc>
          <w:tcPr>
            <w:tcW w:w="1275" w:type="dxa"/>
            <w:vAlign w:val="center"/>
          </w:tcPr>
          <w:p w14:paraId="6EA4925C">
            <w:pPr>
              <w:rPr>
                <w:rFonts w:ascii="宋体" w:hAnsi="宋体"/>
                <w:color w:val="auto"/>
                <w:highlight w:val="none"/>
              </w:rPr>
            </w:pPr>
          </w:p>
        </w:tc>
      </w:tr>
      <w:tr w14:paraId="1585E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restart"/>
            <w:vAlign w:val="center"/>
          </w:tcPr>
          <w:p w14:paraId="69262577">
            <w:pPr>
              <w:rPr>
                <w:rFonts w:ascii="宋体" w:hAnsi="宋体"/>
                <w:bCs/>
                <w:color w:val="auto"/>
                <w:highlight w:val="none"/>
              </w:rPr>
            </w:pPr>
            <w:r>
              <w:rPr>
                <w:rFonts w:hint="eastAsia" w:ascii="宋体" w:hAnsi="宋体"/>
                <w:bCs/>
                <w:color w:val="auto"/>
                <w:highlight w:val="none"/>
              </w:rPr>
              <w:t>5.服务能力</w:t>
            </w:r>
          </w:p>
        </w:tc>
        <w:tc>
          <w:tcPr>
            <w:tcW w:w="3826" w:type="dxa"/>
            <w:vAlign w:val="center"/>
          </w:tcPr>
          <w:p w14:paraId="7778478E">
            <w:pPr>
              <w:rPr>
                <w:rFonts w:ascii="宋体" w:hAnsi="宋体"/>
                <w:bCs/>
                <w:color w:val="auto"/>
                <w:highlight w:val="none"/>
              </w:rPr>
            </w:pPr>
            <w:r>
              <w:rPr>
                <w:rFonts w:hint="eastAsia" w:ascii="宋体" w:hAnsi="宋体"/>
                <w:bCs/>
                <w:color w:val="auto"/>
                <w:highlight w:val="none"/>
              </w:rPr>
              <w:t>能提供以下训练内容：包括但不仅限于听力测试、助听器验配和调试、人工耳蜗调试、辅听设备选配、听觉言语功能训练等</w:t>
            </w:r>
          </w:p>
        </w:tc>
        <w:tc>
          <w:tcPr>
            <w:tcW w:w="2555" w:type="dxa"/>
            <w:vAlign w:val="center"/>
          </w:tcPr>
          <w:p w14:paraId="5C5E000E">
            <w:pPr>
              <w:rPr>
                <w:rFonts w:ascii="宋体" w:hAnsi="宋体"/>
                <w:bCs/>
                <w:color w:val="auto"/>
                <w:highlight w:val="none"/>
              </w:rPr>
            </w:pPr>
            <w:r>
              <w:rPr>
                <w:rFonts w:hint="eastAsia" w:ascii="宋体" w:hAnsi="宋体"/>
                <w:bCs/>
                <w:color w:val="auto"/>
                <w:highlight w:val="none"/>
              </w:rPr>
              <w:t>至少提供4张不同训练情境的照片并匹配文字</w:t>
            </w:r>
          </w:p>
        </w:tc>
        <w:tc>
          <w:tcPr>
            <w:tcW w:w="1275" w:type="dxa"/>
            <w:vAlign w:val="center"/>
          </w:tcPr>
          <w:p w14:paraId="1D350177">
            <w:pPr>
              <w:rPr>
                <w:rFonts w:ascii="宋体" w:hAnsi="宋体"/>
                <w:color w:val="auto"/>
                <w:highlight w:val="none"/>
              </w:rPr>
            </w:pPr>
          </w:p>
        </w:tc>
      </w:tr>
      <w:tr w14:paraId="6239E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4CEF80BE">
            <w:pPr>
              <w:rPr>
                <w:rFonts w:ascii="宋体" w:hAnsi="宋体"/>
                <w:bCs/>
                <w:color w:val="auto"/>
                <w:highlight w:val="none"/>
              </w:rPr>
            </w:pPr>
            <w:bookmarkStart w:id="314" w:name="_Hlk214233063"/>
          </w:p>
        </w:tc>
        <w:tc>
          <w:tcPr>
            <w:tcW w:w="3826" w:type="dxa"/>
            <w:vAlign w:val="center"/>
          </w:tcPr>
          <w:p w14:paraId="1B2AE991">
            <w:pPr>
              <w:rPr>
                <w:rFonts w:ascii="宋体" w:hAnsi="宋体"/>
                <w:bCs/>
                <w:color w:val="auto"/>
                <w:highlight w:val="none"/>
              </w:rPr>
            </w:pPr>
            <w:r>
              <w:rPr>
                <w:rFonts w:hint="eastAsia" w:ascii="宋体" w:hAnsi="宋体"/>
                <w:bCs/>
                <w:color w:val="auto"/>
                <w:highlight w:val="none"/>
              </w:rPr>
              <w:t>至少提供1份完整的基本康复训练档案，包括康复服务登记表、初始状态评估表、康复训练计划、康复训练记录或康复训练日志、阶段性评估表（至少每半年一次）、训练出勤表</w:t>
            </w:r>
          </w:p>
        </w:tc>
        <w:tc>
          <w:tcPr>
            <w:tcW w:w="2555" w:type="dxa"/>
            <w:vAlign w:val="center"/>
          </w:tcPr>
          <w:p w14:paraId="584F32C5">
            <w:pPr>
              <w:rPr>
                <w:rFonts w:ascii="宋体" w:hAnsi="宋体"/>
                <w:bCs/>
                <w:color w:val="auto"/>
                <w:highlight w:val="none"/>
              </w:rPr>
            </w:pPr>
            <w:r>
              <w:rPr>
                <w:rFonts w:hint="eastAsia" w:ascii="宋体" w:hAnsi="宋体"/>
                <w:bCs/>
                <w:color w:val="auto"/>
                <w:highlight w:val="none"/>
              </w:rPr>
              <w:t>至少提供1份完整的基本康复训练档案（六项内容缺一不可）</w:t>
            </w:r>
          </w:p>
        </w:tc>
        <w:tc>
          <w:tcPr>
            <w:tcW w:w="1275" w:type="dxa"/>
            <w:vAlign w:val="center"/>
          </w:tcPr>
          <w:p w14:paraId="715B9A43">
            <w:pPr>
              <w:rPr>
                <w:rFonts w:ascii="宋体" w:hAnsi="宋体"/>
                <w:color w:val="auto"/>
                <w:highlight w:val="none"/>
              </w:rPr>
            </w:pPr>
          </w:p>
        </w:tc>
      </w:tr>
      <w:bookmarkEnd w:id="314"/>
      <w:tr w14:paraId="3B4DB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Align w:val="center"/>
          </w:tcPr>
          <w:p w14:paraId="0306C99F">
            <w:pPr>
              <w:rPr>
                <w:rFonts w:ascii="宋体" w:hAnsi="宋体"/>
                <w:bCs/>
                <w:color w:val="auto"/>
                <w:highlight w:val="none"/>
              </w:rPr>
            </w:pPr>
            <w:r>
              <w:rPr>
                <w:rFonts w:hint="eastAsia" w:ascii="宋体" w:hAnsi="宋体"/>
                <w:bCs/>
                <w:color w:val="auto"/>
                <w:highlight w:val="none"/>
              </w:rPr>
              <w:t>6.</w:t>
            </w:r>
            <w:r>
              <w:rPr>
                <w:rFonts w:ascii="宋体" w:hAnsi="宋体"/>
                <w:bCs/>
                <w:color w:val="auto"/>
                <w:highlight w:val="none"/>
              </w:rPr>
              <w:t xml:space="preserve"> </w:t>
            </w:r>
            <w:r>
              <w:rPr>
                <w:rFonts w:hint="eastAsia" w:ascii="宋体" w:hAnsi="宋体"/>
                <w:bCs/>
                <w:color w:val="auto"/>
                <w:highlight w:val="none"/>
              </w:rPr>
              <w:t>制度管理</w:t>
            </w:r>
          </w:p>
        </w:tc>
        <w:tc>
          <w:tcPr>
            <w:tcW w:w="3826" w:type="dxa"/>
            <w:vAlign w:val="center"/>
          </w:tcPr>
          <w:p w14:paraId="3671875E">
            <w:pPr>
              <w:rPr>
                <w:rFonts w:ascii="宋体" w:hAnsi="宋体"/>
                <w:bCs/>
                <w:color w:val="auto"/>
                <w:highlight w:val="none"/>
              </w:rPr>
            </w:pPr>
            <w:r>
              <w:rPr>
                <w:rFonts w:hint="eastAsia" w:ascii="宋体" w:hAnsi="宋体"/>
                <w:bCs/>
                <w:color w:val="auto"/>
                <w:highlight w:val="none"/>
              </w:rPr>
              <w:t>具备岗位职责、业务管理、突发事件应急预案等内控制度，服务项目等信息向服务对象公示</w:t>
            </w:r>
          </w:p>
        </w:tc>
        <w:tc>
          <w:tcPr>
            <w:tcW w:w="2555" w:type="dxa"/>
            <w:vAlign w:val="center"/>
          </w:tcPr>
          <w:p w14:paraId="3C62FA3E">
            <w:pPr>
              <w:rPr>
                <w:rFonts w:ascii="宋体" w:hAnsi="宋体"/>
                <w:bCs/>
                <w:color w:val="auto"/>
                <w:highlight w:val="none"/>
              </w:rPr>
            </w:pPr>
            <w:r>
              <w:rPr>
                <w:rFonts w:hint="eastAsia" w:ascii="宋体" w:hAnsi="宋体"/>
                <w:bCs/>
                <w:color w:val="auto"/>
                <w:highlight w:val="none"/>
              </w:rPr>
              <w:t>提供照片、文字资料</w:t>
            </w:r>
          </w:p>
        </w:tc>
        <w:tc>
          <w:tcPr>
            <w:tcW w:w="1275" w:type="dxa"/>
            <w:vAlign w:val="center"/>
          </w:tcPr>
          <w:p w14:paraId="3C26E5E1">
            <w:pPr>
              <w:rPr>
                <w:rFonts w:ascii="宋体" w:hAnsi="宋体"/>
                <w:color w:val="auto"/>
                <w:highlight w:val="none"/>
              </w:rPr>
            </w:pPr>
          </w:p>
        </w:tc>
      </w:tr>
      <w:tr w14:paraId="08488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Align w:val="center"/>
          </w:tcPr>
          <w:p w14:paraId="302EA4F3">
            <w:pPr>
              <w:rPr>
                <w:rFonts w:ascii="宋体" w:hAnsi="宋体"/>
                <w:bCs/>
                <w:color w:val="auto"/>
                <w:highlight w:val="none"/>
              </w:rPr>
            </w:pPr>
            <w:r>
              <w:rPr>
                <w:rFonts w:hint="eastAsia" w:ascii="宋体" w:hAnsi="宋体"/>
                <w:bCs/>
                <w:color w:val="auto"/>
                <w:highlight w:val="none"/>
              </w:rPr>
              <w:t>7. 服务计费</w:t>
            </w:r>
          </w:p>
        </w:tc>
        <w:tc>
          <w:tcPr>
            <w:tcW w:w="3826" w:type="dxa"/>
            <w:vAlign w:val="center"/>
          </w:tcPr>
          <w:p w14:paraId="087AC6D0">
            <w:pPr>
              <w:rPr>
                <w:rFonts w:ascii="宋体" w:hAnsi="宋体"/>
                <w:bCs/>
                <w:color w:val="auto"/>
                <w:highlight w:val="none"/>
              </w:rPr>
            </w:pPr>
            <w:r>
              <w:rPr>
                <w:rFonts w:hint="eastAsia" w:ascii="宋体" w:hAnsi="宋体"/>
                <w:bCs/>
                <w:color w:val="auto"/>
                <w:highlight w:val="none"/>
              </w:rPr>
              <w:t>按医疗机构康复服务项目标准提供服务</w:t>
            </w:r>
          </w:p>
        </w:tc>
        <w:tc>
          <w:tcPr>
            <w:tcW w:w="2555" w:type="dxa"/>
            <w:vAlign w:val="center"/>
          </w:tcPr>
          <w:p w14:paraId="6929C671">
            <w:pPr>
              <w:rPr>
                <w:rFonts w:ascii="宋体" w:hAnsi="宋体"/>
                <w:bCs/>
                <w:color w:val="auto"/>
                <w:highlight w:val="none"/>
              </w:rPr>
            </w:pPr>
            <w:r>
              <w:rPr>
                <w:rFonts w:hint="eastAsia" w:ascii="宋体" w:hAnsi="宋体"/>
                <w:bCs/>
                <w:color w:val="auto"/>
                <w:highlight w:val="none"/>
              </w:rPr>
              <w:t>提供听力康复项目收费价目表一份，并作为经费结算依据（格式见附件3）</w:t>
            </w:r>
          </w:p>
        </w:tc>
        <w:tc>
          <w:tcPr>
            <w:tcW w:w="1275" w:type="dxa"/>
            <w:vAlign w:val="center"/>
          </w:tcPr>
          <w:p w14:paraId="02AED5B0">
            <w:pPr>
              <w:rPr>
                <w:rFonts w:ascii="宋体" w:hAnsi="宋体"/>
                <w:color w:val="auto"/>
                <w:highlight w:val="none"/>
              </w:rPr>
            </w:pPr>
          </w:p>
        </w:tc>
      </w:tr>
      <w:tr w14:paraId="47373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526" w:type="dxa"/>
            <w:vAlign w:val="center"/>
          </w:tcPr>
          <w:p w14:paraId="61307AF4">
            <w:pPr>
              <w:rPr>
                <w:rFonts w:ascii="宋体" w:hAnsi="宋体"/>
                <w:bCs/>
                <w:color w:val="auto"/>
                <w:highlight w:val="none"/>
              </w:rPr>
            </w:pPr>
            <w:r>
              <w:rPr>
                <w:rFonts w:hint="eastAsia" w:ascii="宋体" w:hAnsi="宋体"/>
                <w:bCs/>
                <w:color w:val="auto"/>
                <w:highlight w:val="none"/>
              </w:rPr>
              <w:t>8</w:t>
            </w:r>
            <w:r>
              <w:rPr>
                <w:rFonts w:ascii="宋体" w:hAnsi="宋体"/>
                <w:bCs/>
                <w:color w:val="auto"/>
                <w:highlight w:val="none"/>
              </w:rPr>
              <w:t>.</w:t>
            </w:r>
            <w:r>
              <w:rPr>
                <w:rFonts w:hint="eastAsia" w:ascii="宋体" w:hAnsi="宋体"/>
                <w:bCs/>
                <w:color w:val="auto"/>
                <w:highlight w:val="none"/>
              </w:rPr>
              <w:t>实施方案</w:t>
            </w:r>
          </w:p>
        </w:tc>
        <w:tc>
          <w:tcPr>
            <w:tcW w:w="6381" w:type="dxa"/>
            <w:gridSpan w:val="2"/>
            <w:vAlign w:val="center"/>
          </w:tcPr>
          <w:p w14:paraId="1BE9C863">
            <w:pPr>
              <w:rPr>
                <w:rFonts w:ascii="宋体" w:hAnsi="宋体"/>
                <w:bCs/>
                <w:color w:val="auto"/>
                <w:highlight w:val="none"/>
              </w:rPr>
            </w:pPr>
            <w:r>
              <w:rPr>
                <w:rFonts w:hint="eastAsia" w:ascii="宋体" w:hAnsi="宋体"/>
                <w:bCs/>
                <w:color w:val="auto"/>
                <w:highlight w:val="none"/>
              </w:rPr>
              <w:t>提供听力（言语）残疾儿童基本康复训练服务的具体实施方案一份</w:t>
            </w:r>
          </w:p>
        </w:tc>
        <w:tc>
          <w:tcPr>
            <w:tcW w:w="1275" w:type="dxa"/>
            <w:vAlign w:val="center"/>
          </w:tcPr>
          <w:p w14:paraId="72B93BC7">
            <w:pPr>
              <w:rPr>
                <w:rFonts w:ascii="宋体" w:hAnsi="宋体"/>
                <w:color w:val="auto"/>
                <w:highlight w:val="none"/>
              </w:rPr>
            </w:pPr>
          </w:p>
        </w:tc>
      </w:tr>
    </w:tbl>
    <w:p w14:paraId="2D00E082">
      <w:pPr>
        <w:rPr>
          <w:b/>
          <w:bCs/>
          <w:color w:val="auto"/>
          <w:sz w:val="24"/>
          <w:szCs w:val="24"/>
          <w:highlight w:val="none"/>
        </w:rPr>
      </w:pPr>
      <w:r>
        <w:rPr>
          <w:rFonts w:hint="eastAsia"/>
          <w:b/>
          <w:bCs/>
          <w:color w:val="auto"/>
          <w:sz w:val="24"/>
          <w:szCs w:val="24"/>
          <w:highlight w:val="none"/>
        </w:rPr>
        <w:t>法定代表人或法定代表人授权代表签字或盖章：</w:t>
      </w:r>
    </w:p>
    <w:p w14:paraId="15B1B6CB">
      <w:pPr>
        <w:rPr>
          <w:color w:val="auto"/>
          <w:sz w:val="24"/>
          <w:szCs w:val="24"/>
          <w:highlight w:val="none"/>
        </w:rPr>
      </w:pPr>
      <w:r>
        <w:rPr>
          <w:rFonts w:hint="eastAsia"/>
          <w:color w:val="auto"/>
          <w:sz w:val="24"/>
          <w:szCs w:val="24"/>
          <w:highlight w:val="none"/>
        </w:rPr>
        <w:t>注：其余资料可自行添加至此表，</w:t>
      </w:r>
      <w:r>
        <w:rPr>
          <w:color w:val="auto"/>
          <w:sz w:val="24"/>
          <w:szCs w:val="24"/>
          <w:highlight w:val="none"/>
        </w:rPr>
        <w:t>证明材料附在本表后</w:t>
      </w:r>
      <w:r>
        <w:rPr>
          <w:rFonts w:hint="eastAsia"/>
          <w:color w:val="auto"/>
          <w:sz w:val="24"/>
          <w:szCs w:val="24"/>
          <w:highlight w:val="none"/>
        </w:rPr>
        <w:t>。</w:t>
      </w:r>
    </w:p>
    <w:bookmarkEnd w:id="309"/>
    <w:bookmarkEnd w:id="310"/>
    <w:p w14:paraId="32F2CA0B">
      <w:pPr>
        <w:spacing w:line="360" w:lineRule="auto"/>
        <w:rPr>
          <w:b/>
          <w:color w:val="auto"/>
          <w:sz w:val="28"/>
          <w:szCs w:val="28"/>
          <w:highlight w:val="none"/>
        </w:rPr>
      </w:pPr>
    </w:p>
    <w:p w14:paraId="273DCC8F">
      <w:pPr>
        <w:spacing w:line="360" w:lineRule="auto"/>
        <w:rPr>
          <w:b/>
          <w:color w:val="auto"/>
          <w:sz w:val="28"/>
          <w:szCs w:val="28"/>
          <w:highlight w:val="none"/>
        </w:rPr>
      </w:pPr>
    </w:p>
    <w:p w14:paraId="4C039DA9">
      <w:pPr>
        <w:spacing w:line="360" w:lineRule="auto"/>
        <w:rPr>
          <w:b/>
          <w:color w:val="auto"/>
          <w:sz w:val="28"/>
          <w:szCs w:val="28"/>
          <w:highlight w:val="none"/>
        </w:rPr>
      </w:pPr>
    </w:p>
    <w:p w14:paraId="41C4400D">
      <w:pPr>
        <w:spacing w:line="360" w:lineRule="auto"/>
        <w:rPr>
          <w:b/>
          <w:color w:val="auto"/>
          <w:sz w:val="28"/>
          <w:szCs w:val="28"/>
          <w:highlight w:val="none"/>
        </w:rPr>
      </w:pPr>
    </w:p>
    <w:p w14:paraId="20D9FC87">
      <w:pPr>
        <w:spacing w:line="360" w:lineRule="auto"/>
        <w:rPr>
          <w:b/>
          <w:color w:val="auto"/>
          <w:sz w:val="28"/>
          <w:szCs w:val="28"/>
          <w:highlight w:val="none"/>
        </w:rPr>
      </w:pPr>
    </w:p>
    <w:p w14:paraId="65B99DA8">
      <w:pPr>
        <w:spacing w:line="360" w:lineRule="auto"/>
        <w:rPr>
          <w:b/>
          <w:color w:val="auto"/>
          <w:sz w:val="28"/>
          <w:szCs w:val="28"/>
          <w:highlight w:val="none"/>
        </w:rPr>
      </w:pPr>
    </w:p>
    <w:p w14:paraId="1CE23556">
      <w:pPr>
        <w:spacing w:line="360" w:lineRule="auto"/>
        <w:rPr>
          <w:b/>
          <w:color w:val="auto"/>
          <w:sz w:val="28"/>
          <w:szCs w:val="28"/>
          <w:highlight w:val="none"/>
        </w:rPr>
      </w:pPr>
    </w:p>
    <w:p w14:paraId="2D24EF06">
      <w:pPr>
        <w:spacing w:line="360" w:lineRule="auto"/>
        <w:rPr>
          <w:b/>
          <w:color w:val="auto"/>
          <w:sz w:val="28"/>
          <w:szCs w:val="28"/>
          <w:highlight w:val="none"/>
        </w:rPr>
      </w:pPr>
    </w:p>
    <w:p w14:paraId="7CF2774B">
      <w:pPr>
        <w:spacing w:line="360" w:lineRule="auto"/>
        <w:rPr>
          <w:b/>
          <w:color w:val="auto"/>
          <w:sz w:val="28"/>
          <w:szCs w:val="28"/>
          <w:highlight w:val="none"/>
        </w:rPr>
      </w:pPr>
    </w:p>
    <w:p w14:paraId="7CD76856">
      <w:pPr>
        <w:spacing w:line="360" w:lineRule="auto"/>
        <w:rPr>
          <w:b/>
          <w:color w:val="auto"/>
          <w:sz w:val="28"/>
          <w:szCs w:val="28"/>
          <w:highlight w:val="none"/>
        </w:rPr>
      </w:pPr>
    </w:p>
    <w:p w14:paraId="6ECAA140">
      <w:pPr>
        <w:spacing w:line="360" w:lineRule="auto"/>
        <w:rPr>
          <w:b/>
          <w:color w:val="auto"/>
          <w:sz w:val="28"/>
          <w:szCs w:val="28"/>
          <w:highlight w:val="none"/>
        </w:rPr>
      </w:pPr>
    </w:p>
    <w:p w14:paraId="6E9917BF">
      <w:pPr>
        <w:spacing w:line="360" w:lineRule="auto"/>
        <w:rPr>
          <w:b/>
          <w:color w:val="auto"/>
          <w:sz w:val="28"/>
          <w:szCs w:val="28"/>
          <w:highlight w:val="none"/>
        </w:rPr>
      </w:pPr>
    </w:p>
    <w:p w14:paraId="0230F233">
      <w:pPr>
        <w:spacing w:line="360" w:lineRule="auto"/>
        <w:rPr>
          <w:b/>
          <w:color w:val="auto"/>
          <w:sz w:val="28"/>
          <w:szCs w:val="28"/>
          <w:highlight w:val="none"/>
        </w:rPr>
      </w:pPr>
    </w:p>
    <w:p w14:paraId="2AC85317">
      <w:pPr>
        <w:spacing w:line="360" w:lineRule="auto"/>
        <w:rPr>
          <w:b/>
          <w:color w:val="auto"/>
          <w:sz w:val="28"/>
          <w:szCs w:val="28"/>
          <w:highlight w:val="none"/>
        </w:rPr>
      </w:pPr>
    </w:p>
    <w:p w14:paraId="7C70A2F2">
      <w:pPr>
        <w:jc w:val="center"/>
        <w:rPr>
          <w:rFonts w:ascii="仿宋" w:hAnsi="仿宋" w:eastAsia="仿宋" w:cs="宋体"/>
          <w:b/>
          <w:color w:val="auto"/>
          <w:sz w:val="32"/>
          <w:szCs w:val="32"/>
          <w:highlight w:val="none"/>
        </w:rPr>
      </w:pPr>
      <w:bookmarkStart w:id="315" w:name="OLE_LINK66"/>
      <w:bookmarkStart w:id="316" w:name="OLE_LINK67"/>
      <w:r>
        <w:rPr>
          <w:rFonts w:hint="eastAsia" w:ascii="仿宋" w:hAnsi="仿宋" w:eastAsia="仿宋" w:cs="宋体"/>
          <w:b/>
          <w:color w:val="auto"/>
          <w:sz w:val="32"/>
          <w:szCs w:val="32"/>
          <w:highlight w:val="none"/>
        </w:rPr>
        <w:t>（采购包三）肢体（脑瘫）残疾儿童基本康复训练服务</w:t>
      </w:r>
    </w:p>
    <w:p w14:paraId="08282996">
      <w:pPr>
        <w:rPr>
          <w:rFonts w:ascii="仿宋" w:hAnsi="仿宋" w:eastAsia="仿宋" w:cs="宋体"/>
          <w:b/>
          <w:color w:val="auto"/>
          <w:sz w:val="32"/>
          <w:szCs w:val="32"/>
          <w:highlight w:val="none"/>
        </w:rPr>
      </w:pPr>
      <w:r>
        <w:rPr>
          <w:rFonts w:hint="eastAsia" w:ascii="黑体" w:eastAsia="黑体"/>
          <w:bCs/>
          <w:color w:val="auto"/>
          <w:sz w:val="24"/>
          <w:szCs w:val="24"/>
          <w:highlight w:val="none"/>
        </w:rPr>
        <w:t xml:space="preserve">申请人名称（盖章）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ascii="黑体" w:eastAsia="黑体"/>
          <w:bCs/>
          <w:color w:val="auto"/>
          <w:sz w:val="24"/>
          <w:szCs w:val="24"/>
          <w:highlight w:val="none"/>
        </w:rPr>
        <w:t xml:space="preserve"> </w:t>
      </w:r>
    </w:p>
    <w:tbl>
      <w:tblPr>
        <w:tblStyle w:val="48"/>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826"/>
        <w:gridCol w:w="2555"/>
        <w:gridCol w:w="1275"/>
      </w:tblGrid>
      <w:tr w14:paraId="3C1FD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526" w:type="dxa"/>
            <w:vAlign w:val="center"/>
          </w:tcPr>
          <w:p w14:paraId="07D002CA">
            <w:pPr>
              <w:rPr>
                <w:rFonts w:ascii="宋体" w:hAnsi="宋体"/>
                <w:color w:val="auto"/>
                <w:highlight w:val="none"/>
              </w:rPr>
            </w:pPr>
            <w:r>
              <w:rPr>
                <w:rFonts w:ascii="宋体" w:hAnsi="宋体"/>
                <w:color w:val="auto"/>
                <w:highlight w:val="none"/>
              </w:rPr>
              <w:t>采购</w:t>
            </w:r>
            <w:r>
              <w:rPr>
                <w:rFonts w:hint="eastAsia" w:ascii="宋体" w:hAnsi="宋体"/>
                <w:color w:val="auto"/>
                <w:highlight w:val="none"/>
              </w:rPr>
              <w:t>需求</w:t>
            </w:r>
          </w:p>
        </w:tc>
        <w:tc>
          <w:tcPr>
            <w:tcW w:w="3826" w:type="dxa"/>
            <w:vAlign w:val="center"/>
          </w:tcPr>
          <w:p w14:paraId="5207A1B3">
            <w:pPr>
              <w:rPr>
                <w:rFonts w:ascii="宋体" w:hAnsi="宋体"/>
                <w:color w:val="auto"/>
                <w:highlight w:val="none"/>
              </w:rPr>
            </w:pPr>
            <w:r>
              <w:rPr>
                <w:rFonts w:hint="eastAsia" w:ascii="宋体" w:hAnsi="宋体"/>
                <w:color w:val="auto"/>
                <w:highlight w:val="none"/>
              </w:rPr>
              <w:t>详细要求</w:t>
            </w:r>
          </w:p>
        </w:tc>
        <w:tc>
          <w:tcPr>
            <w:tcW w:w="2555" w:type="dxa"/>
            <w:vAlign w:val="center"/>
          </w:tcPr>
          <w:p w14:paraId="09D33137">
            <w:pPr>
              <w:rPr>
                <w:rFonts w:ascii="宋体" w:hAnsi="宋体"/>
                <w:color w:val="auto"/>
                <w:highlight w:val="none"/>
              </w:rPr>
            </w:pPr>
            <w:r>
              <w:rPr>
                <w:rFonts w:hint="eastAsia" w:ascii="宋体" w:hAnsi="宋体"/>
                <w:color w:val="auto"/>
                <w:highlight w:val="none"/>
              </w:rPr>
              <w:t>证明材料</w:t>
            </w:r>
          </w:p>
        </w:tc>
        <w:tc>
          <w:tcPr>
            <w:tcW w:w="1275" w:type="dxa"/>
            <w:vAlign w:val="center"/>
          </w:tcPr>
          <w:p w14:paraId="0613AEA6">
            <w:pPr>
              <w:rPr>
                <w:rFonts w:ascii="宋体" w:hAnsi="宋体"/>
                <w:color w:val="auto"/>
                <w:highlight w:val="none"/>
              </w:rPr>
            </w:pPr>
            <w:r>
              <w:rPr>
                <w:rFonts w:hint="eastAsia" w:ascii="宋体" w:hAnsi="宋体"/>
                <w:color w:val="auto"/>
                <w:highlight w:val="none"/>
              </w:rPr>
              <w:t>证明材料（有/无）</w:t>
            </w:r>
          </w:p>
        </w:tc>
      </w:tr>
      <w:tr w14:paraId="0B2E5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526" w:type="dxa"/>
            <w:vMerge w:val="restart"/>
            <w:vAlign w:val="center"/>
          </w:tcPr>
          <w:p w14:paraId="2D3330CF">
            <w:pPr>
              <w:rPr>
                <w:rFonts w:ascii="宋体" w:hAnsi="宋体"/>
                <w:color w:val="auto"/>
                <w:highlight w:val="none"/>
              </w:rPr>
            </w:pPr>
            <w:r>
              <w:rPr>
                <w:rFonts w:hint="eastAsia" w:ascii="宋体" w:hAnsi="宋体"/>
                <w:color w:val="auto"/>
                <w:highlight w:val="none"/>
              </w:rPr>
              <w:t>1</w:t>
            </w:r>
            <w:r>
              <w:rPr>
                <w:rFonts w:ascii="宋体" w:hAnsi="宋体"/>
                <w:color w:val="auto"/>
                <w:highlight w:val="none"/>
              </w:rPr>
              <w:t>.</w:t>
            </w:r>
            <w:r>
              <w:rPr>
                <w:rFonts w:hint="eastAsia" w:ascii="宋体" w:hAnsi="宋体"/>
                <w:color w:val="auto"/>
                <w:highlight w:val="none"/>
              </w:rPr>
              <w:t>建设要求</w:t>
            </w:r>
          </w:p>
        </w:tc>
        <w:tc>
          <w:tcPr>
            <w:tcW w:w="3826" w:type="dxa"/>
            <w:vAlign w:val="center"/>
          </w:tcPr>
          <w:p w14:paraId="1FE4411B">
            <w:pPr>
              <w:rPr>
                <w:rFonts w:ascii="宋体" w:hAnsi="宋体"/>
                <w:color w:val="auto"/>
                <w:highlight w:val="none"/>
              </w:rPr>
            </w:pPr>
            <w:r>
              <w:rPr>
                <w:rFonts w:hint="eastAsia" w:ascii="宋体" w:hAnsi="宋体"/>
                <w:color w:val="auto"/>
                <w:highlight w:val="none"/>
              </w:rPr>
              <w:t>本地</w:t>
            </w:r>
            <w:r>
              <w:rPr>
                <w:rFonts w:ascii="宋体" w:hAnsi="宋体"/>
                <w:color w:val="auto"/>
                <w:highlight w:val="none"/>
              </w:rPr>
              <w:t>训练场所</w:t>
            </w:r>
            <w:bookmarkStart w:id="317" w:name="OLE_LINK258"/>
            <w:r>
              <w:rPr>
                <w:rFonts w:hint="eastAsia" w:ascii="宋体" w:hAnsi="宋体"/>
                <w:color w:val="auto"/>
                <w:highlight w:val="none"/>
              </w:rPr>
              <w:t>建筑面积不小于100平方米</w:t>
            </w:r>
            <w:bookmarkEnd w:id="317"/>
          </w:p>
        </w:tc>
        <w:tc>
          <w:tcPr>
            <w:tcW w:w="2555" w:type="dxa"/>
            <w:vMerge w:val="restart"/>
            <w:vAlign w:val="center"/>
          </w:tcPr>
          <w:p w14:paraId="12A25C5D">
            <w:pPr>
              <w:rPr>
                <w:rFonts w:ascii="宋体" w:hAnsi="宋体"/>
                <w:color w:val="auto"/>
                <w:highlight w:val="none"/>
              </w:rPr>
            </w:pPr>
            <w:r>
              <w:rPr>
                <w:rFonts w:hint="eastAsia" w:ascii="宋体" w:hAnsi="宋体"/>
                <w:color w:val="auto"/>
                <w:highlight w:val="none"/>
              </w:rPr>
              <w:t>提供房产证或租赁协议，若为租赁协议另需提供房主房产证或其他有效的产权证明，外部环境和内部场所照片及介绍文字</w:t>
            </w:r>
          </w:p>
        </w:tc>
        <w:tc>
          <w:tcPr>
            <w:tcW w:w="1275" w:type="dxa"/>
            <w:vAlign w:val="center"/>
          </w:tcPr>
          <w:p w14:paraId="79BE0E0F">
            <w:pPr>
              <w:rPr>
                <w:rFonts w:ascii="宋体" w:hAnsi="宋体"/>
                <w:color w:val="auto"/>
                <w:highlight w:val="none"/>
              </w:rPr>
            </w:pPr>
          </w:p>
        </w:tc>
      </w:tr>
      <w:tr w14:paraId="4761E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526" w:type="dxa"/>
            <w:vMerge w:val="continue"/>
            <w:vAlign w:val="center"/>
          </w:tcPr>
          <w:p w14:paraId="28C24C23">
            <w:pPr>
              <w:rPr>
                <w:rFonts w:ascii="宋体" w:hAnsi="宋体"/>
                <w:color w:val="auto"/>
                <w:highlight w:val="none"/>
              </w:rPr>
            </w:pPr>
          </w:p>
        </w:tc>
        <w:tc>
          <w:tcPr>
            <w:tcW w:w="3826" w:type="dxa"/>
            <w:vAlign w:val="center"/>
          </w:tcPr>
          <w:p w14:paraId="40EF9FCD">
            <w:pPr>
              <w:rPr>
                <w:rFonts w:ascii="宋体" w:hAnsi="宋体"/>
                <w:color w:val="auto"/>
                <w:highlight w:val="none"/>
              </w:rPr>
            </w:pPr>
            <w:bookmarkStart w:id="318" w:name="OLE_LINK256"/>
            <w:bookmarkStart w:id="319" w:name="OLE_LINK257"/>
            <w:r>
              <w:rPr>
                <w:rFonts w:hint="eastAsia" w:ascii="宋体" w:hAnsi="宋体"/>
                <w:color w:val="auto"/>
                <w:highlight w:val="none"/>
              </w:rPr>
              <w:t>本地训练场所应在三层及以下的非地下室</w:t>
            </w:r>
            <w:bookmarkEnd w:id="318"/>
            <w:bookmarkEnd w:id="319"/>
            <w:r>
              <w:rPr>
                <w:rFonts w:hint="eastAsia" w:ascii="宋体" w:hAnsi="宋体"/>
                <w:color w:val="auto"/>
                <w:highlight w:val="none"/>
              </w:rPr>
              <w:t>，符合国家无障碍通行要求</w:t>
            </w:r>
          </w:p>
        </w:tc>
        <w:tc>
          <w:tcPr>
            <w:tcW w:w="2555" w:type="dxa"/>
            <w:vMerge w:val="continue"/>
            <w:vAlign w:val="center"/>
          </w:tcPr>
          <w:p w14:paraId="43D24115">
            <w:pPr>
              <w:rPr>
                <w:rFonts w:ascii="宋体" w:hAnsi="宋体"/>
                <w:color w:val="auto"/>
                <w:highlight w:val="none"/>
              </w:rPr>
            </w:pPr>
          </w:p>
        </w:tc>
        <w:tc>
          <w:tcPr>
            <w:tcW w:w="1275" w:type="dxa"/>
            <w:vAlign w:val="center"/>
          </w:tcPr>
          <w:p w14:paraId="741792A6">
            <w:pPr>
              <w:rPr>
                <w:rFonts w:ascii="宋体" w:hAnsi="宋体"/>
                <w:color w:val="auto"/>
                <w:highlight w:val="none"/>
              </w:rPr>
            </w:pPr>
          </w:p>
        </w:tc>
      </w:tr>
      <w:tr w14:paraId="26A03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526" w:type="dxa"/>
            <w:vMerge w:val="restart"/>
            <w:vAlign w:val="center"/>
          </w:tcPr>
          <w:p w14:paraId="1262CF7E">
            <w:pPr>
              <w:rPr>
                <w:rFonts w:ascii="宋体" w:hAnsi="宋体"/>
                <w:color w:val="auto"/>
                <w:highlight w:val="none"/>
              </w:rPr>
            </w:pPr>
            <w:r>
              <w:rPr>
                <w:rFonts w:hint="eastAsia" w:ascii="宋体" w:hAnsi="宋体"/>
                <w:color w:val="auto"/>
                <w:highlight w:val="none"/>
              </w:rPr>
              <w:t>2</w:t>
            </w:r>
            <w:r>
              <w:rPr>
                <w:rFonts w:ascii="宋体" w:hAnsi="宋体"/>
                <w:color w:val="auto"/>
                <w:highlight w:val="none"/>
              </w:rPr>
              <w:t>.</w:t>
            </w:r>
            <w:r>
              <w:rPr>
                <w:rFonts w:hint="eastAsia" w:ascii="宋体" w:hAnsi="宋体"/>
                <w:color w:val="auto"/>
                <w:highlight w:val="none"/>
              </w:rPr>
              <w:t>训练场地</w:t>
            </w:r>
          </w:p>
        </w:tc>
        <w:tc>
          <w:tcPr>
            <w:tcW w:w="3826" w:type="dxa"/>
            <w:vAlign w:val="center"/>
          </w:tcPr>
          <w:p w14:paraId="73BEDF40">
            <w:pPr>
              <w:rPr>
                <w:rFonts w:ascii="宋体" w:hAnsi="宋体"/>
                <w:color w:val="auto"/>
                <w:highlight w:val="none"/>
              </w:rPr>
            </w:pPr>
            <w:r>
              <w:rPr>
                <w:rFonts w:hint="eastAsia" w:ascii="宋体" w:hAnsi="宋体"/>
                <w:color w:val="auto"/>
                <w:highlight w:val="none"/>
              </w:rPr>
              <w:t>设置至少1间咨询接待室（不少于10平方米）和1间功能评估室（不少于15平方米）</w:t>
            </w:r>
          </w:p>
        </w:tc>
        <w:tc>
          <w:tcPr>
            <w:tcW w:w="2555" w:type="dxa"/>
            <w:vMerge w:val="restart"/>
            <w:vAlign w:val="center"/>
          </w:tcPr>
          <w:p w14:paraId="7C878937">
            <w:pPr>
              <w:rPr>
                <w:rFonts w:ascii="宋体" w:hAnsi="宋体"/>
                <w:color w:val="auto"/>
                <w:highlight w:val="none"/>
              </w:rPr>
            </w:pPr>
            <w:r>
              <w:rPr>
                <w:rFonts w:hint="eastAsia" w:ascii="宋体" w:hAnsi="宋体"/>
                <w:color w:val="auto"/>
                <w:highlight w:val="none"/>
              </w:rPr>
              <w:t>提供场所平面图并标注出各种功能室，提供各功能室照片</w:t>
            </w:r>
          </w:p>
        </w:tc>
        <w:tc>
          <w:tcPr>
            <w:tcW w:w="1275" w:type="dxa"/>
            <w:vAlign w:val="center"/>
          </w:tcPr>
          <w:p w14:paraId="76A803A1">
            <w:pPr>
              <w:rPr>
                <w:rFonts w:ascii="宋体" w:hAnsi="宋体"/>
                <w:color w:val="auto"/>
                <w:highlight w:val="none"/>
              </w:rPr>
            </w:pPr>
          </w:p>
        </w:tc>
      </w:tr>
      <w:tr w14:paraId="11C02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526" w:type="dxa"/>
            <w:vMerge w:val="continue"/>
            <w:vAlign w:val="center"/>
          </w:tcPr>
          <w:p w14:paraId="6AD31B10">
            <w:pPr>
              <w:rPr>
                <w:rFonts w:ascii="宋体" w:hAnsi="宋体"/>
                <w:color w:val="auto"/>
                <w:highlight w:val="none"/>
              </w:rPr>
            </w:pPr>
          </w:p>
        </w:tc>
        <w:tc>
          <w:tcPr>
            <w:tcW w:w="3826" w:type="dxa"/>
            <w:vAlign w:val="center"/>
          </w:tcPr>
          <w:p w14:paraId="3FC22E7F">
            <w:pPr>
              <w:rPr>
                <w:rFonts w:ascii="宋体" w:hAnsi="宋体"/>
                <w:color w:val="auto"/>
                <w:highlight w:val="none"/>
              </w:rPr>
            </w:pPr>
            <w:bookmarkStart w:id="320" w:name="OLE_LINK268"/>
            <w:r>
              <w:rPr>
                <w:rFonts w:hint="eastAsia" w:ascii="宋体" w:hAnsi="宋体"/>
                <w:color w:val="auto"/>
                <w:highlight w:val="none"/>
              </w:rPr>
              <w:t>设置至少1间运动训练室（不少于40平方米）和至少1间作业训练室（不少于30平方米）</w:t>
            </w:r>
            <w:bookmarkEnd w:id="320"/>
          </w:p>
        </w:tc>
        <w:tc>
          <w:tcPr>
            <w:tcW w:w="2555" w:type="dxa"/>
            <w:vMerge w:val="continue"/>
            <w:vAlign w:val="center"/>
          </w:tcPr>
          <w:p w14:paraId="177E9761">
            <w:pPr>
              <w:rPr>
                <w:rFonts w:ascii="宋体" w:hAnsi="宋体"/>
                <w:color w:val="auto"/>
                <w:highlight w:val="none"/>
              </w:rPr>
            </w:pPr>
          </w:p>
        </w:tc>
        <w:tc>
          <w:tcPr>
            <w:tcW w:w="1275" w:type="dxa"/>
            <w:vAlign w:val="center"/>
          </w:tcPr>
          <w:p w14:paraId="6E822486">
            <w:pPr>
              <w:rPr>
                <w:rFonts w:ascii="宋体" w:hAnsi="宋体"/>
                <w:color w:val="auto"/>
                <w:highlight w:val="none"/>
              </w:rPr>
            </w:pPr>
          </w:p>
        </w:tc>
      </w:tr>
      <w:tr w14:paraId="0D5F1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130D01F0">
            <w:pPr>
              <w:rPr>
                <w:rFonts w:ascii="宋体" w:hAnsi="宋体"/>
                <w:color w:val="auto"/>
                <w:highlight w:val="none"/>
              </w:rPr>
            </w:pPr>
          </w:p>
        </w:tc>
        <w:tc>
          <w:tcPr>
            <w:tcW w:w="3826" w:type="dxa"/>
            <w:vAlign w:val="center"/>
          </w:tcPr>
          <w:p w14:paraId="75101CB7">
            <w:pPr>
              <w:rPr>
                <w:rFonts w:ascii="宋体" w:hAnsi="宋体"/>
                <w:color w:val="auto"/>
                <w:highlight w:val="none"/>
              </w:rPr>
            </w:pPr>
            <w:r>
              <w:rPr>
                <w:rFonts w:hint="eastAsia" w:ascii="宋体" w:hAnsi="宋体"/>
                <w:color w:val="auto"/>
                <w:highlight w:val="none"/>
              </w:rPr>
              <w:t>设置至少1间集体教室（不少于30平方米）</w:t>
            </w:r>
          </w:p>
        </w:tc>
        <w:tc>
          <w:tcPr>
            <w:tcW w:w="2555" w:type="dxa"/>
            <w:vMerge w:val="continue"/>
            <w:vAlign w:val="center"/>
          </w:tcPr>
          <w:p w14:paraId="062A9218">
            <w:pPr>
              <w:rPr>
                <w:rFonts w:ascii="宋体" w:hAnsi="宋体"/>
                <w:color w:val="auto"/>
                <w:highlight w:val="none"/>
              </w:rPr>
            </w:pPr>
          </w:p>
        </w:tc>
        <w:tc>
          <w:tcPr>
            <w:tcW w:w="1275" w:type="dxa"/>
            <w:vAlign w:val="center"/>
          </w:tcPr>
          <w:p w14:paraId="2A334EB4">
            <w:pPr>
              <w:rPr>
                <w:rFonts w:ascii="宋体" w:hAnsi="宋体"/>
                <w:color w:val="auto"/>
                <w:highlight w:val="none"/>
              </w:rPr>
            </w:pPr>
          </w:p>
        </w:tc>
      </w:tr>
      <w:tr w14:paraId="0CBE0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1492C711">
            <w:pPr>
              <w:rPr>
                <w:rFonts w:ascii="宋体" w:hAnsi="宋体"/>
                <w:color w:val="auto"/>
                <w:highlight w:val="none"/>
              </w:rPr>
            </w:pPr>
          </w:p>
        </w:tc>
        <w:tc>
          <w:tcPr>
            <w:tcW w:w="3826" w:type="dxa"/>
            <w:vAlign w:val="center"/>
          </w:tcPr>
          <w:p w14:paraId="5DEBA64C">
            <w:pPr>
              <w:rPr>
                <w:rFonts w:ascii="宋体" w:hAnsi="宋体"/>
                <w:color w:val="auto"/>
                <w:highlight w:val="none"/>
              </w:rPr>
            </w:pPr>
            <w:r>
              <w:rPr>
                <w:rFonts w:hint="eastAsia" w:ascii="宋体" w:hAnsi="宋体"/>
                <w:color w:val="auto"/>
                <w:highlight w:val="none"/>
              </w:rPr>
              <w:t>有独立的室外活动场地，设有安全提示标志和安全设施，确保无安全隐患</w:t>
            </w:r>
          </w:p>
        </w:tc>
        <w:tc>
          <w:tcPr>
            <w:tcW w:w="2555" w:type="dxa"/>
            <w:vMerge w:val="continue"/>
            <w:vAlign w:val="center"/>
          </w:tcPr>
          <w:p w14:paraId="3457AA9F">
            <w:pPr>
              <w:rPr>
                <w:rFonts w:ascii="宋体" w:hAnsi="宋体"/>
                <w:color w:val="auto"/>
                <w:highlight w:val="none"/>
              </w:rPr>
            </w:pPr>
          </w:p>
        </w:tc>
        <w:tc>
          <w:tcPr>
            <w:tcW w:w="1275" w:type="dxa"/>
            <w:vAlign w:val="center"/>
          </w:tcPr>
          <w:p w14:paraId="223956A7">
            <w:pPr>
              <w:rPr>
                <w:rFonts w:ascii="宋体" w:hAnsi="宋体"/>
                <w:color w:val="auto"/>
                <w:highlight w:val="none"/>
              </w:rPr>
            </w:pPr>
          </w:p>
        </w:tc>
      </w:tr>
      <w:tr w14:paraId="35668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restart"/>
            <w:vAlign w:val="center"/>
          </w:tcPr>
          <w:p w14:paraId="70A02132">
            <w:pPr>
              <w:rPr>
                <w:rFonts w:ascii="宋体" w:hAnsi="宋体"/>
                <w:color w:val="auto"/>
                <w:highlight w:val="none"/>
              </w:rPr>
            </w:pPr>
            <w:r>
              <w:rPr>
                <w:rFonts w:hint="eastAsia" w:ascii="宋体" w:hAnsi="宋体"/>
                <w:color w:val="auto"/>
                <w:highlight w:val="none"/>
              </w:rPr>
              <w:t>3.</w:t>
            </w:r>
            <w:r>
              <w:rPr>
                <w:rFonts w:ascii="宋体" w:hAnsi="宋体"/>
                <w:color w:val="auto"/>
                <w:highlight w:val="none"/>
              </w:rPr>
              <w:t xml:space="preserve"> </w:t>
            </w:r>
            <w:r>
              <w:rPr>
                <w:rFonts w:hint="eastAsia" w:ascii="宋体" w:hAnsi="宋体"/>
                <w:color w:val="auto"/>
                <w:highlight w:val="none"/>
              </w:rPr>
              <w:t>训练设备</w:t>
            </w:r>
          </w:p>
        </w:tc>
        <w:tc>
          <w:tcPr>
            <w:tcW w:w="3826" w:type="dxa"/>
            <w:vAlign w:val="center"/>
          </w:tcPr>
          <w:p w14:paraId="4A266616">
            <w:pPr>
              <w:rPr>
                <w:rFonts w:ascii="宋体" w:hAnsi="宋体"/>
                <w:color w:val="auto"/>
                <w:highlight w:val="none"/>
              </w:rPr>
            </w:pPr>
            <w:r>
              <w:rPr>
                <w:rFonts w:hint="eastAsia" w:ascii="宋体" w:hAnsi="宋体"/>
                <w:color w:val="auto"/>
                <w:highlight w:val="none"/>
              </w:rPr>
              <w:t>康复评估设备：包括评估运动、认知、言语、生活自理等方面能力的评估量表、诊断评估设备和工具</w:t>
            </w:r>
          </w:p>
        </w:tc>
        <w:tc>
          <w:tcPr>
            <w:tcW w:w="2555" w:type="dxa"/>
            <w:vMerge w:val="restart"/>
            <w:vAlign w:val="center"/>
          </w:tcPr>
          <w:p w14:paraId="3E273BA0">
            <w:pPr>
              <w:rPr>
                <w:rFonts w:ascii="宋体" w:hAnsi="宋体"/>
                <w:bCs/>
                <w:color w:val="auto"/>
                <w:highlight w:val="none"/>
              </w:rPr>
            </w:pPr>
            <w:r>
              <w:rPr>
                <w:rFonts w:hint="eastAsia" w:ascii="宋体" w:hAnsi="宋体"/>
                <w:bCs/>
                <w:color w:val="auto"/>
                <w:highlight w:val="none"/>
              </w:rPr>
              <w:t>提供清单及使用过程中的照片</w:t>
            </w:r>
          </w:p>
        </w:tc>
        <w:tc>
          <w:tcPr>
            <w:tcW w:w="1275" w:type="dxa"/>
            <w:vAlign w:val="center"/>
          </w:tcPr>
          <w:p w14:paraId="0227369B">
            <w:pPr>
              <w:rPr>
                <w:rFonts w:ascii="宋体" w:hAnsi="宋体"/>
                <w:color w:val="auto"/>
                <w:highlight w:val="none"/>
              </w:rPr>
            </w:pPr>
          </w:p>
        </w:tc>
      </w:tr>
      <w:tr w14:paraId="06889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38FF3BDA">
            <w:pPr>
              <w:rPr>
                <w:rFonts w:ascii="宋体" w:hAnsi="宋体"/>
                <w:color w:val="auto"/>
                <w:highlight w:val="none"/>
              </w:rPr>
            </w:pPr>
          </w:p>
        </w:tc>
        <w:tc>
          <w:tcPr>
            <w:tcW w:w="3826" w:type="dxa"/>
            <w:vAlign w:val="center"/>
          </w:tcPr>
          <w:p w14:paraId="32A7E7F9">
            <w:pPr>
              <w:rPr>
                <w:rFonts w:ascii="宋体" w:hAnsi="宋体"/>
                <w:color w:val="auto"/>
                <w:highlight w:val="none"/>
              </w:rPr>
            </w:pPr>
            <w:r>
              <w:rPr>
                <w:rFonts w:hint="eastAsia" w:ascii="宋体" w:hAnsi="宋体"/>
                <w:color w:val="auto"/>
                <w:highlight w:val="none"/>
              </w:rPr>
              <w:t>康复训练设备：配备运动垫、</w:t>
            </w:r>
            <w:r>
              <w:rPr>
                <w:rFonts w:ascii="宋体" w:hAnsi="宋体"/>
                <w:color w:val="auto"/>
                <w:highlight w:val="none"/>
              </w:rPr>
              <w:t>PT</w:t>
            </w:r>
            <w:r>
              <w:rPr>
                <w:rFonts w:hint="eastAsia" w:ascii="宋体" w:hAnsi="宋体"/>
                <w:color w:val="auto"/>
                <w:highlight w:val="none"/>
              </w:rPr>
              <w:t>床、木条台、楔形垫、巴氏球、滚筒、姿势矫正器、分指等基本训练器具；配备站立架、起立架、踝关节矫正站立板、肋木等站立训练器具；配备平衡木、步行器、阶梯、姿势镜、多功能组合箱等步行训练器具</w:t>
            </w:r>
          </w:p>
        </w:tc>
        <w:tc>
          <w:tcPr>
            <w:tcW w:w="2555" w:type="dxa"/>
            <w:vMerge w:val="continue"/>
            <w:vAlign w:val="center"/>
          </w:tcPr>
          <w:p w14:paraId="6E7B03C3">
            <w:pPr>
              <w:rPr>
                <w:rFonts w:ascii="宋体" w:hAnsi="宋体"/>
                <w:bCs/>
                <w:color w:val="auto"/>
                <w:highlight w:val="none"/>
              </w:rPr>
            </w:pPr>
          </w:p>
        </w:tc>
        <w:tc>
          <w:tcPr>
            <w:tcW w:w="1275" w:type="dxa"/>
            <w:vAlign w:val="center"/>
          </w:tcPr>
          <w:p w14:paraId="004C348C">
            <w:pPr>
              <w:rPr>
                <w:rFonts w:ascii="宋体" w:hAnsi="宋体"/>
                <w:color w:val="auto"/>
                <w:highlight w:val="none"/>
              </w:rPr>
            </w:pPr>
          </w:p>
        </w:tc>
      </w:tr>
      <w:tr w14:paraId="0C23F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411AB6A4">
            <w:pPr>
              <w:rPr>
                <w:rFonts w:ascii="宋体" w:hAnsi="宋体"/>
                <w:color w:val="auto"/>
                <w:highlight w:val="none"/>
              </w:rPr>
            </w:pPr>
          </w:p>
        </w:tc>
        <w:tc>
          <w:tcPr>
            <w:tcW w:w="3826" w:type="dxa"/>
            <w:vAlign w:val="center"/>
          </w:tcPr>
          <w:p w14:paraId="38DD77C6">
            <w:pPr>
              <w:rPr>
                <w:rFonts w:ascii="宋体" w:hAnsi="宋体"/>
                <w:color w:val="auto"/>
                <w:highlight w:val="none"/>
              </w:rPr>
            </w:pPr>
            <w:r>
              <w:rPr>
                <w:rFonts w:hint="eastAsia" w:ascii="宋体" w:hAnsi="宋体"/>
                <w:color w:val="auto"/>
                <w:highlight w:val="none"/>
              </w:rPr>
              <w:t>教学设备：配备打击乐器、玩教具、电脑、电视机、投影仪、电子琴（钢琴）、幼儿园教材、教育类图书、体育活动器材、生活自助器具等；配备至少80件各类玩具和图书</w:t>
            </w:r>
          </w:p>
        </w:tc>
        <w:tc>
          <w:tcPr>
            <w:tcW w:w="2555" w:type="dxa"/>
            <w:vMerge w:val="continue"/>
            <w:vAlign w:val="center"/>
          </w:tcPr>
          <w:p w14:paraId="2348B17C">
            <w:pPr>
              <w:rPr>
                <w:rFonts w:ascii="宋体" w:hAnsi="宋体"/>
                <w:bCs/>
                <w:color w:val="auto"/>
                <w:highlight w:val="none"/>
              </w:rPr>
            </w:pPr>
          </w:p>
        </w:tc>
        <w:tc>
          <w:tcPr>
            <w:tcW w:w="1275" w:type="dxa"/>
            <w:vAlign w:val="center"/>
          </w:tcPr>
          <w:p w14:paraId="36CDB19F">
            <w:pPr>
              <w:rPr>
                <w:rFonts w:ascii="宋体" w:hAnsi="宋体"/>
                <w:color w:val="auto"/>
                <w:highlight w:val="none"/>
              </w:rPr>
            </w:pPr>
          </w:p>
        </w:tc>
      </w:tr>
      <w:tr w14:paraId="17FD0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restart"/>
            <w:vAlign w:val="center"/>
          </w:tcPr>
          <w:p w14:paraId="13DD10E7">
            <w:pPr>
              <w:rPr>
                <w:rFonts w:ascii="宋体" w:hAnsi="宋体"/>
                <w:color w:val="auto"/>
                <w:highlight w:val="none"/>
              </w:rPr>
            </w:pPr>
            <w:r>
              <w:rPr>
                <w:rFonts w:hint="eastAsia" w:ascii="宋体" w:hAnsi="宋体"/>
                <w:bCs/>
                <w:color w:val="auto"/>
                <w:highlight w:val="none"/>
              </w:rPr>
              <w:t>4.</w:t>
            </w:r>
            <w:r>
              <w:rPr>
                <w:rFonts w:ascii="宋体" w:hAnsi="宋体"/>
                <w:bCs/>
                <w:color w:val="auto"/>
                <w:highlight w:val="none"/>
              </w:rPr>
              <w:t xml:space="preserve"> </w:t>
            </w:r>
            <w:r>
              <w:rPr>
                <w:rFonts w:hint="eastAsia" w:ascii="宋体" w:hAnsi="宋体"/>
                <w:bCs/>
                <w:color w:val="auto"/>
                <w:highlight w:val="none"/>
              </w:rPr>
              <w:t>人员配备</w:t>
            </w:r>
          </w:p>
        </w:tc>
        <w:tc>
          <w:tcPr>
            <w:tcW w:w="3826" w:type="dxa"/>
            <w:vAlign w:val="center"/>
          </w:tcPr>
          <w:p w14:paraId="22DE2BBC">
            <w:pPr>
              <w:rPr>
                <w:rFonts w:ascii="宋体" w:hAnsi="宋体"/>
                <w:bCs/>
                <w:color w:val="auto"/>
                <w:highlight w:val="none"/>
              </w:rPr>
            </w:pPr>
            <w:r>
              <w:rPr>
                <w:rFonts w:hint="eastAsia" w:ascii="宋体" w:hAnsi="宋体" w:eastAsia="宋体"/>
                <w:bCs/>
                <w:color w:val="auto"/>
                <w:highlight w:val="none"/>
              </w:rPr>
              <w:t>配备机构管理人员（业务主管）1人（具有康复医学与理疗学、儿科、中医或中西医结合等相关专业本科以上学历，三年以上机构管理工作经验（管理工作经验以各机构在《项目人员配置清单》中填写内容为准）</w:t>
            </w:r>
          </w:p>
        </w:tc>
        <w:tc>
          <w:tcPr>
            <w:tcW w:w="2555" w:type="dxa"/>
            <w:vMerge w:val="restart"/>
            <w:vAlign w:val="center"/>
          </w:tcPr>
          <w:p w14:paraId="40409F84">
            <w:pPr>
              <w:rPr>
                <w:rFonts w:ascii="宋体" w:hAnsi="宋体"/>
                <w:bCs/>
                <w:color w:val="auto"/>
                <w:highlight w:val="none"/>
              </w:rPr>
            </w:pPr>
            <w:r>
              <w:rPr>
                <w:rFonts w:hint="eastAsia" w:ascii="宋体" w:hAnsi="宋体"/>
                <w:bCs/>
                <w:color w:val="auto"/>
                <w:highlight w:val="none"/>
              </w:rPr>
              <w:t>提供《项目人员配置清单》和《在训儿童清单》（格式见附件</w:t>
            </w:r>
            <w:r>
              <w:rPr>
                <w:rFonts w:ascii="宋体" w:hAnsi="宋体"/>
                <w:bCs/>
                <w:color w:val="auto"/>
                <w:highlight w:val="none"/>
              </w:rPr>
              <w:t>1</w:t>
            </w:r>
            <w:r>
              <w:rPr>
                <w:rFonts w:hint="eastAsia" w:ascii="宋体" w:hAnsi="宋体"/>
                <w:bCs/>
                <w:color w:val="auto"/>
                <w:highlight w:val="none"/>
              </w:rPr>
              <w:t>、</w:t>
            </w:r>
            <w:r>
              <w:rPr>
                <w:rFonts w:ascii="宋体" w:hAnsi="宋体"/>
                <w:bCs/>
                <w:color w:val="auto"/>
                <w:highlight w:val="none"/>
              </w:rPr>
              <w:t>2</w:t>
            </w:r>
            <w:r>
              <w:rPr>
                <w:rFonts w:hint="eastAsia" w:ascii="宋体" w:hAnsi="宋体"/>
                <w:bCs/>
                <w:color w:val="auto"/>
                <w:highlight w:val="none"/>
              </w:rPr>
              <w:t>），并按要求提供证明材料（人员学历证书（或学信网相关查询记录）、管理工作经验以各机构在《项目人员配置清单》中填写内容为准、资格证书、申请人近三个月中任意一个月份（不含征集当月）为其缴纳社保的证明、健康检查合格证明或体检报告，公办机构的编外劳务派遣专业技术人员的另需提供第三方劳务派遣协议等证明资料），同时申请其他类别的，项目人员配置不得重复。</w:t>
            </w:r>
          </w:p>
        </w:tc>
        <w:tc>
          <w:tcPr>
            <w:tcW w:w="1275" w:type="dxa"/>
            <w:vAlign w:val="center"/>
          </w:tcPr>
          <w:p w14:paraId="0A346B17">
            <w:pPr>
              <w:rPr>
                <w:rFonts w:ascii="宋体" w:hAnsi="宋体"/>
                <w:color w:val="auto"/>
                <w:highlight w:val="none"/>
              </w:rPr>
            </w:pPr>
          </w:p>
        </w:tc>
      </w:tr>
      <w:tr w14:paraId="1A2E8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411BDD0B">
            <w:pPr>
              <w:rPr>
                <w:rFonts w:ascii="宋体" w:hAnsi="宋体"/>
                <w:color w:val="auto"/>
                <w:highlight w:val="none"/>
              </w:rPr>
            </w:pPr>
          </w:p>
        </w:tc>
        <w:tc>
          <w:tcPr>
            <w:tcW w:w="3826" w:type="dxa"/>
            <w:vAlign w:val="center"/>
          </w:tcPr>
          <w:p w14:paraId="64FBD499">
            <w:pPr>
              <w:rPr>
                <w:rFonts w:ascii="宋体" w:hAnsi="宋体"/>
                <w:bCs/>
                <w:color w:val="auto"/>
                <w:highlight w:val="none"/>
              </w:rPr>
            </w:pPr>
            <w:r>
              <w:rPr>
                <w:rFonts w:hint="eastAsia" w:ascii="宋体" w:hAnsi="宋体"/>
                <w:bCs/>
                <w:color w:val="auto"/>
                <w:highlight w:val="none"/>
              </w:rPr>
              <w:t>至少配备1名康复医师（具有康复医学与理疗学、儿科、中医或中西医结合专业背景并取得国家医师资格证书并注册在本机构）</w:t>
            </w:r>
          </w:p>
        </w:tc>
        <w:tc>
          <w:tcPr>
            <w:tcW w:w="2555" w:type="dxa"/>
            <w:vMerge w:val="continue"/>
            <w:vAlign w:val="center"/>
          </w:tcPr>
          <w:p w14:paraId="2C17D71D">
            <w:pPr>
              <w:rPr>
                <w:rFonts w:ascii="宋体" w:hAnsi="宋体"/>
                <w:bCs/>
                <w:color w:val="auto"/>
                <w:highlight w:val="none"/>
              </w:rPr>
            </w:pPr>
          </w:p>
        </w:tc>
        <w:tc>
          <w:tcPr>
            <w:tcW w:w="1275" w:type="dxa"/>
            <w:vAlign w:val="center"/>
          </w:tcPr>
          <w:p w14:paraId="29A42BBC">
            <w:pPr>
              <w:rPr>
                <w:rFonts w:ascii="宋体" w:hAnsi="宋体"/>
                <w:color w:val="auto"/>
                <w:highlight w:val="none"/>
              </w:rPr>
            </w:pPr>
          </w:p>
        </w:tc>
      </w:tr>
      <w:tr w14:paraId="5BE8C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246C9043">
            <w:pPr>
              <w:rPr>
                <w:rFonts w:ascii="宋体" w:hAnsi="宋体"/>
                <w:color w:val="auto"/>
                <w:highlight w:val="none"/>
              </w:rPr>
            </w:pPr>
          </w:p>
        </w:tc>
        <w:tc>
          <w:tcPr>
            <w:tcW w:w="3826" w:type="dxa"/>
            <w:vAlign w:val="center"/>
          </w:tcPr>
          <w:p w14:paraId="73E72B42">
            <w:pPr>
              <w:rPr>
                <w:rFonts w:ascii="宋体" w:hAnsi="宋体"/>
                <w:bCs/>
                <w:color w:val="auto"/>
                <w:highlight w:val="none"/>
              </w:rPr>
            </w:pPr>
            <w:r>
              <w:rPr>
                <w:rFonts w:hint="eastAsia" w:ascii="宋体" w:hAnsi="宋体"/>
                <w:bCs/>
                <w:color w:val="auto"/>
                <w:highlight w:val="none"/>
              </w:rPr>
              <w:t>至少配备2名康复治疗师（具有医疗、康复、护理相关专业背景并取得相应执业资格）；教育类机构还须配备康复教师（具有特殊教育、学前教育、心理学等相关专业背景大专以上学历，并取得教师资格证）</w:t>
            </w:r>
          </w:p>
        </w:tc>
        <w:tc>
          <w:tcPr>
            <w:tcW w:w="2555" w:type="dxa"/>
            <w:vMerge w:val="continue"/>
            <w:vAlign w:val="center"/>
          </w:tcPr>
          <w:p w14:paraId="067389C7">
            <w:pPr>
              <w:rPr>
                <w:rFonts w:ascii="宋体" w:hAnsi="宋体"/>
                <w:bCs/>
                <w:color w:val="auto"/>
                <w:highlight w:val="none"/>
              </w:rPr>
            </w:pPr>
          </w:p>
        </w:tc>
        <w:tc>
          <w:tcPr>
            <w:tcW w:w="1275" w:type="dxa"/>
            <w:vAlign w:val="center"/>
          </w:tcPr>
          <w:p w14:paraId="19794214">
            <w:pPr>
              <w:rPr>
                <w:rFonts w:ascii="宋体" w:hAnsi="宋体"/>
                <w:color w:val="auto"/>
                <w:highlight w:val="none"/>
              </w:rPr>
            </w:pPr>
          </w:p>
        </w:tc>
      </w:tr>
      <w:tr w14:paraId="5BCF8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1F9A7FCC">
            <w:pPr>
              <w:rPr>
                <w:rFonts w:ascii="宋体" w:hAnsi="宋体"/>
                <w:color w:val="auto"/>
                <w:highlight w:val="none"/>
              </w:rPr>
            </w:pPr>
          </w:p>
        </w:tc>
        <w:tc>
          <w:tcPr>
            <w:tcW w:w="3826" w:type="dxa"/>
            <w:vAlign w:val="center"/>
          </w:tcPr>
          <w:p w14:paraId="052579D3">
            <w:pPr>
              <w:rPr>
                <w:rFonts w:ascii="宋体" w:hAnsi="宋体"/>
                <w:bCs/>
                <w:color w:val="auto"/>
                <w:highlight w:val="none"/>
              </w:rPr>
            </w:pPr>
            <w:r>
              <w:rPr>
                <w:rFonts w:hint="eastAsia" w:ascii="宋体" w:hAnsi="宋体"/>
                <w:bCs/>
                <w:color w:val="auto"/>
                <w:highlight w:val="none"/>
              </w:rPr>
              <w:t>上述专业技术人员均应取得相应专业大专以上学历，取得资格证书等相应资质，并在本单位缴纳社会保险，均应取得健康证明</w:t>
            </w:r>
          </w:p>
        </w:tc>
        <w:tc>
          <w:tcPr>
            <w:tcW w:w="2555" w:type="dxa"/>
            <w:vMerge w:val="continue"/>
            <w:vAlign w:val="center"/>
          </w:tcPr>
          <w:p w14:paraId="09BF366C">
            <w:pPr>
              <w:rPr>
                <w:rFonts w:ascii="宋体" w:hAnsi="宋体"/>
                <w:bCs/>
                <w:color w:val="auto"/>
                <w:highlight w:val="none"/>
              </w:rPr>
            </w:pPr>
          </w:p>
        </w:tc>
        <w:tc>
          <w:tcPr>
            <w:tcW w:w="1275" w:type="dxa"/>
            <w:vAlign w:val="center"/>
          </w:tcPr>
          <w:p w14:paraId="07978B81">
            <w:pPr>
              <w:rPr>
                <w:rFonts w:ascii="宋体" w:hAnsi="宋体"/>
                <w:color w:val="auto"/>
                <w:highlight w:val="none"/>
              </w:rPr>
            </w:pPr>
          </w:p>
        </w:tc>
      </w:tr>
      <w:tr w14:paraId="286AB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0F379F95">
            <w:pPr>
              <w:rPr>
                <w:rFonts w:ascii="宋体" w:hAnsi="宋体"/>
                <w:color w:val="auto"/>
                <w:highlight w:val="none"/>
              </w:rPr>
            </w:pPr>
          </w:p>
        </w:tc>
        <w:tc>
          <w:tcPr>
            <w:tcW w:w="3826" w:type="dxa"/>
            <w:vAlign w:val="center"/>
          </w:tcPr>
          <w:p w14:paraId="63F1E31B">
            <w:pPr>
              <w:rPr>
                <w:rFonts w:ascii="宋体" w:hAnsi="宋体"/>
                <w:bCs/>
                <w:color w:val="auto"/>
                <w:highlight w:val="none"/>
              </w:rPr>
            </w:pPr>
            <w:r>
              <w:rPr>
                <w:rFonts w:hint="eastAsia" w:ascii="宋体" w:hAnsi="宋体"/>
                <w:bCs/>
                <w:color w:val="auto"/>
                <w:highlight w:val="none"/>
              </w:rPr>
              <w:t>肢体康复医师与在训儿童比例不低于1：20，肢体康复治疗师与在训儿童比例不低于1：8；教育类机构康复教师与残疾儿童比例不低于1：10</w:t>
            </w:r>
          </w:p>
        </w:tc>
        <w:tc>
          <w:tcPr>
            <w:tcW w:w="2555" w:type="dxa"/>
            <w:vMerge w:val="continue"/>
            <w:vAlign w:val="center"/>
          </w:tcPr>
          <w:p w14:paraId="51A263B1">
            <w:pPr>
              <w:rPr>
                <w:rFonts w:ascii="宋体" w:hAnsi="宋体"/>
                <w:bCs/>
                <w:color w:val="auto"/>
                <w:highlight w:val="none"/>
              </w:rPr>
            </w:pPr>
          </w:p>
        </w:tc>
        <w:tc>
          <w:tcPr>
            <w:tcW w:w="1275" w:type="dxa"/>
            <w:vAlign w:val="center"/>
          </w:tcPr>
          <w:p w14:paraId="5DD751D2">
            <w:pPr>
              <w:rPr>
                <w:rFonts w:ascii="宋体" w:hAnsi="宋体"/>
                <w:color w:val="auto"/>
                <w:highlight w:val="none"/>
              </w:rPr>
            </w:pPr>
          </w:p>
        </w:tc>
      </w:tr>
      <w:tr w14:paraId="03EF9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restart"/>
            <w:vAlign w:val="center"/>
          </w:tcPr>
          <w:p w14:paraId="064D4F84">
            <w:pPr>
              <w:rPr>
                <w:rFonts w:ascii="宋体" w:hAnsi="宋体"/>
                <w:bCs/>
                <w:color w:val="auto"/>
                <w:highlight w:val="none"/>
              </w:rPr>
            </w:pPr>
            <w:r>
              <w:rPr>
                <w:rFonts w:hint="eastAsia" w:ascii="宋体" w:hAnsi="宋体"/>
                <w:bCs/>
                <w:color w:val="auto"/>
                <w:highlight w:val="none"/>
              </w:rPr>
              <w:t>5.服务能力</w:t>
            </w:r>
          </w:p>
        </w:tc>
        <w:tc>
          <w:tcPr>
            <w:tcW w:w="3826" w:type="dxa"/>
            <w:vAlign w:val="center"/>
          </w:tcPr>
          <w:p w14:paraId="5EF02164">
            <w:pPr>
              <w:rPr>
                <w:rFonts w:ascii="宋体" w:hAnsi="宋体"/>
                <w:bCs/>
                <w:color w:val="auto"/>
                <w:highlight w:val="none"/>
              </w:rPr>
            </w:pPr>
            <w:r>
              <w:rPr>
                <w:rFonts w:hint="eastAsia" w:ascii="宋体" w:hAnsi="宋体"/>
                <w:bCs/>
                <w:color w:val="auto"/>
                <w:highlight w:val="none"/>
              </w:rPr>
              <w:t>目前在训或投标前1年内训练周期不少于3个月的肢体（脑瘫）残疾儿童不少于10名</w:t>
            </w:r>
          </w:p>
        </w:tc>
        <w:tc>
          <w:tcPr>
            <w:tcW w:w="2555" w:type="dxa"/>
            <w:vAlign w:val="center"/>
          </w:tcPr>
          <w:p w14:paraId="3D3DDA23">
            <w:pPr>
              <w:rPr>
                <w:rFonts w:ascii="宋体" w:hAnsi="宋体"/>
                <w:bCs/>
                <w:color w:val="auto"/>
                <w:highlight w:val="none"/>
              </w:rPr>
            </w:pPr>
            <w:r>
              <w:rPr>
                <w:rFonts w:hint="eastAsia" w:ascii="宋体" w:hAnsi="宋体"/>
                <w:bCs/>
                <w:color w:val="auto"/>
                <w:highlight w:val="none"/>
              </w:rPr>
              <w:t>提供《在训儿童清单》（格式见附件2）），每名儿童均需出具三级医疗机构出具的医疗诊断书（诊断明确为因病导致肢体功能障碍、发育迟缓或脑瘫）或肢体残疾人证，已纳入康复救助的在训儿童可以无锡市残联信息系统康复救助审核通过的截图代替）</w:t>
            </w:r>
          </w:p>
        </w:tc>
        <w:tc>
          <w:tcPr>
            <w:tcW w:w="1275" w:type="dxa"/>
            <w:vAlign w:val="center"/>
          </w:tcPr>
          <w:p w14:paraId="08E63E45">
            <w:pPr>
              <w:rPr>
                <w:rFonts w:ascii="宋体" w:hAnsi="宋体"/>
                <w:color w:val="auto"/>
                <w:highlight w:val="none"/>
              </w:rPr>
            </w:pPr>
          </w:p>
        </w:tc>
      </w:tr>
      <w:tr w14:paraId="31617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1886164D">
            <w:pPr>
              <w:rPr>
                <w:rFonts w:ascii="宋体" w:hAnsi="宋体"/>
                <w:bCs/>
                <w:color w:val="auto"/>
                <w:highlight w:val="none"/>
              </w:rPr>
            </w:pPr>
          </w:p>
        </w:tc>
        <w:tc>
          <w:tcPr>
            <w:tcW w:w="3826" w:type="dxa"/>
            <w:vAlign w:val="center"/>
          </w:tcPr>
          <w:p w14:paraId="6B123F1E">
            <w:pPr>
              <w:rPr>
                <w:rFonts w:ascii="宋体" w:hAnsi="宋体"/>
                <w:bCs/>
                <w:color w:val="auto"/>
                <w:highlight w:val="none"/>
              </w:rPr>
            </w:pPr>
            <w:r>
              <w:rPr>
                <w:rFonts w:hint="eastAsia" w:ascii="宋体" w:hAnsi="宋体"/>
                <w:bCs/>
                <w:color w:val="auto"/>
                <w:highlight w:val="none"/>
              </w:rPr>
              <w:t>能至少提供以下训练内容：粗大运动和精细运动功能训练、认知和语言能力训练、生活自理和社会适应能力训练</w:t>
            </w:r>
          </w:p>
        </w:tc>
        <w:tc>
          <w:tcPr>
            <w:tcW w:w="2555" w:type="dxa"/>
            <w:vAlign w:val="center"/>
          </w:tcPr>
          <w:p w14:paraId="360C561D">
            <w:pPr>
              <w:rPr>
                <w:rFonts w:ascii="宋体" w:hAnsi="宋体"/>
                <w:bCs/>
                <w:color w:val="auto"/>
                <w:highlight w:val="none"/>
              </w:rPr>
            </w:pPr>
            <w:r>
              <w:rPr>
                <w:rFonts w:hint="eastAsia" w:ascii="宋体" w:hAnsi="宋体"/>
                <w:bCs/>
                <w:color w:val="auto"/>
                <w:highlight w:val="none"/>
              </w:rPr>
              <w:t>至少提供6张以上不同训练情境的照片并匹配文字</w:t>
            </w:r>
          </w:p>
        </w:tc>
        <w:tc>
          <w:tcPr>
            <w:tcW w:w="1275" w:type="dxa"/>
            <w:vAlign w:val="center"/>
          </w:tcPr>
          <w:p w14:paraId="125065E3">
            <w:pPr>
              <w:rPr>
                <w:rFonts w:ascii="宋体" w:hAnsi="宋体"/>
                <w:color w:val="auto"/>
                <w:highlight w:val="none"/>
              </w:rPr>
            </w:pPr>
          </w:p>
        </w:tc>
      </w:tr>
      <w:tr w14:paraId="41A09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6A334DFD">
            <w:pPr>
              <w:rPr>
                <w:rFonts w:ascii="宋体" w:hAnsi="宋体"/>
                <w:bCs/>
                <w:color w:val="auto"/>
                <w:highlight w:val="none"/>
              </w:rPr>
            </w:pPr>
          </w:p>
        </w:tc>
        <w:tc>
          <w:tcPr>
            <w:tcW w:w="3826" w:type="dxa"/>
            <w:vAlign w:val="center"/>
          </w:tcPr>
          <w:p w14:paraId="4D43C7EA">
            <w:pPr>
              <w:rPr>
                <w:rFonts w:ascii="宋体" w:hAnsi="宋体"/>
                <w:bCs/>
                <w:color w:val="auto"/>
                <w:highlight w:val="none"/>
              </w:rPr>
            </w:pPr>
            <w:r>
              <w:rPr>
                <w:rFonts w:hint="eastAsia" w:ascii="宋体" w:hAnsi="宋体"/>
                <w:bCs/>
                <w:color w:val="auto"/>
                <w:highlight w:val="none"/>
              </w:rPr>
              <w:t>至少提供1份完整的基本康复训练档案，包括康复服务登记表、初始状态评估表、康复训练计划、康复训练记录或康复训练日志、阶段性评估表（至少每半年1次）、训练出勤表（缺一不可）</w:t>
            </w:r>
          </w:p>
        </w:tc>
        <w:tc>
          <w:tcPr>
            <w:tcW w:w="2555" w:type="dxa"/>
            <w:vAlign w:val="center"/>
          </w:tcPr>
          <w:p w14:paraId="3C593027">
            <w:pPr>
              <w:rPr>
                <w:rFonts w:ascii="宋体" w:hAnsi="宋体"/>
                <w:bCs/>
                <w:color w:val="auto"/>
                <w:highlight w:val="none"/>
              </w:rPr>
            </w:pPr>
            <w:r>
              <w:rPr>
                <w:rFonts w:hint="eastAsia" w:ascii="宋体" w:hAnsi="宋体"/>
                <w:bCs/>
                <w:color w:val="auto"/>
                <w:highlight w:val="none"/>
              </w:rPr>
              <w:t>至少提供1份完整的基本康复训练档案（六项内容缺一不可）</w:t>
            </w:r>
          </w:p>
        </w:tc>
        <w:tc>
          <w:tcPr>
            <w:tcW w:w="1275" w:type="dxa"/>
            <w:vAlign w:val="center"/>
          </w:tcPr>
          <w:p w14:paraId="44992155">
            <w:pPr>
              <w:rPr>
                <w:rFonts w:ascii="宋体" w:hAnsi="宋体"/>
                <w:color w:val="auto"/>
                <w:highlight w:val="none"/>
              </w:rPr>
            </w:pPr>
          </w:p>
        </w:tc>
      </w:tr>
      <w:tr w14:paraId="66F56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Align w:val="center"/>
          </w:tcPr>
          <w:p w14:paraId="0311BF8F">
            <w:pPr>
              <w:rPr>
                <w:rFonts w:ascii="宋体" w:hAnsi="宋体"/>
                <w:bCs/>
                <w:color w:val="auto"/>
                <w:highlight w:val="none"/>
              </w:rPr>
            </w:pPr>
            <w:r>
              <w:rPr>
                <w:rFonts w:hint="eastAsia" w:ascii="宋体" w:hAnsi="宋体"/>
                <w:bCs/>
                <w:color w:val="auto"/>
                <w:highlight w:val="none"/>
              </w:rPr>
              <w:t>6.</w:t>
            </w:r>
            <w:r>
              <w:rPr>
                <w:rFonts w:ascii="宋体" w:hAnsi="宋体"/>
                <w:bCs/>
                <w:color w:val="auto"/>
                <w:highlight w:val="none"/>
              </w:rPr>
              <w:t xml:space="preserve"> </w:t>
            </w:r>
            <w:r>
              <w:rPr>
                <w:rFonts w:hint="eastAsia" w:ascii="宋体" w:hAnsi="宋体"/>
                <w:bCs/>
                <w:color w:val="auto"/>
                <w:highlight w:val="none"/>
              </w:rPr>
              <w:t>制度管理</w:t>
            </w:r>
          </w:p>
        </w:tc>
        <w:tc>
          <w:tcPr>
            <w:tcW w:w="3826" w:type="dxa"/>
            <w:vAlign w:val="center"/>
          </w:tcPr>
          <w:p w14:paraId="5AEE9116">
            <w:pPr>
              <w:rPr>
                <w:rFonts w:ascii="宋体" w:hAnsi="宋体"/>
                <w:bCs/>
                <w:color w:val="auto"/>
                <w:highlight w:val="none"/>
              </w:rPr>
            </w:pPr>
            <w:r>
              <w:rPr>
                <w:rFonts w:hint="eastAsia" w:ascii="宋体" w:hAnsi="宋体"/>
                <w:bCs/>
                <w:color w:val="auto"/>
                <w:highlight w:val="none"/>
              </w:rPr>
              <w:t>具备岗位职责、业务管理、突发事件应急预案等内控制度，服务项目等信息向服务对象公示</w:t>
            </w:r>
          </w:p>
        </w:tc>
        <w:tc>
          <w:tcPr>
            <w:tcW w:w="2555" w:type="dxa"/>
            <w:vAlign w:val="center"/>
          </w:tcPr>
          <w:p w14:paraId="0D40E56B">
            <w:pPr>
              <w:rPr>
                <w:rFonts w:ascii="宋体" w:hAnsi="宋体"/>
                <w:bCs/>
                <w:color w:val="auto"/>
                <w:highlight w:val="none"/>
              </w:rPr>
            </w:pPr>
            <w:r>
              <w:rPr>
                <w:rFonts w:hint="eastAsia" w:ascii="宋体" w:hAnsi="宋体"/>
                <w:bCs/>
                <w:color w:val="auto"/>
                <w:highlight w:val="none"/>
              </w:rPr>
              <w:t>提供照片、文字资料</w:t>
            </w:r>
          </w:p>
        </w:tc>
        <w:tc>
          <w:tcPr>
            <w:tcW w:w="1275" w:type="dxa"/>
            <w:vAlign w:val="center"/>
          </w:tcPr>
          <w:p w14:paraId="0DADFDFC">
            <w:pPr>
              <w:rPr>
                <w:rFonts w:ascii="宋体" w:hAnsi="宋体"/>
                <w:color w:val="auto"/>
                <w:highlight w:val="none"/>
              </w:rPr>
            </w:pPr>
          </w:p>
        </w:tc>
      </w:tr>
      <w:tr w14:paraId="49E32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Align w:val="center"/>
          </w:tcPr>
          <w:p w14:paraId="6F15707A">
            <w:pPr>
              <w:rPr>
                <w:rFonts w:ascii="宋体" w:hAnsi="宋体"/>
                <w:bCs/>
                <w:color w:val="auto"/>
                <w:highlight w:val="none"/>
              </w:rPr>
            </w:pPr>
            <w:r>
              <w:rPr>
                <w:rFonts w:hint="eastAsia" w:ascii="宋体" w:hAnsi="宋体"/>
                <w:bCs/>
                <w:color w:val="auto"/>
                <w:highlight w:val="none"/>
              </w:rPr>
              <w:t>7. 服务计费</w:t>
            </w:r>
          </w:p>
        </w:tc>
        <w:tc>
          <w:tcPr>
            <w:tcW w:w="3826" w:type="dxa"/>
            <w:vAlign w:val="center"/>
          </w:tcPr>
          <w:p w14:paraId="2488F35B">
            <w:pPr>
              <w:rPr>
                <w:rFonts w:ascii="宋体" w:hAnsi="宋体"/>
                <w:bCs/>
                <w:color w:val="auto"/>
                <w:highlight w:val="none"/>
              </w:rPr>
            </w:pPr>
            <w:r>
              <w:rPr>
                <w:rFonts w:hint="eastAsia" w:ascii="宋体" w:hAnsi="宋体"/>
                <w:bCs/>
                <w:color w:val="auto"/>
                <w:highlight w:val="none"/>
              </w:rPr>
              <w:t>按医疗机构康复服务项目标准提供服务</w:t>
            </w:r>
          </w:p>
        </w:tc>
        <w:tc>
          <w:tcPr>
            <w:tcW w:w="2555" w:type="dxa"/>
            <w:vAlign w:val="center"/>
          </w:tcPr>
          <w:p w14:paraId="34ECA747">
            <w:pPr>
              <w:rPr>
                <w:rFonts w:ascii="宋体" w:hAnsi="宋体"/>
                <w:bCs/>
                <w:color w:val="auto"/>
                <w:highlight w:val="none"/>
              </w:rPr>
            </w:pPr>
            <w:r>
              <w:rPr>
                <w:rFonts w:hint="eastAsia" w:ascii="宋体" w:hAnsi="宋体"/>
                <w:bCs/>
                <w:color w:val="auto"/>
                <w:highlight w:val="none"/>
              </w:rPr>
              <w:t>提供肢体康复项目收费价目表一份，并作为经费结算依据（格式见附件3）</w:t>
            </w:r>
          </w:p>
        </w:tc>
        <w:tc>
          <w:tcPr>
            <w:tcW w:w="1275" w:type="dxa"/>
            <w:vAlign w:val="center"/>
          </w:tcPr>
          <w:p w14:paraId="75DA11A0">
            <w:pPr>
              <w:rPr>
                <w:rFonts w:ascii="宋体" w:hAnsi="宋体"/>
                <w:color w:val="auto"/>
                <w:highlight w:val="none"/>
              </w:rPr>
            </w:pPr>
          </w:p>
        </w:tc>
      </w:tr>
      <w:tr w14:paraId="1EF09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526" w:type="dxa"/>
            <w:vAlign w:val="center"/>
          </w:tcPr>
          <w:p w14:paraId="2A8B11B6">
            <w:pPr>
              <w:rPr>
                <w:rFonts w:ascii="宋体" w:hAnsi="宋体"/>
                <w:bCs/>
                <w:color w:val="auto"/>
                <w:highlight w:val="none"/>
              </w:rPr>
            </w:pPr>
            <w:r>
              <w:rPr>
                <w:rFonts w:hint="eastAsia" w:ascii="宋体" w:hAnsi="宋体"/>
                <w:bCs/>
                <w:color w:val="auto"/>
                <w:highlight w:val="none"/>
              </w:rPr>
              <w:t>8</w:t>
            </w:r>
            <w:r>
              <w:rPr>
                <w:rFonts w:ascii="宋体" w:hAnsi="宋体"/>
                <w:bCs/>
                <w:color w:val="auto"/>
                <w:highlight w:val="none"/>
              </w:rPr>
              <w:t>.</w:t>
            </w:r>
            <w:r>
              <w:rPr>
                <w:rFonts w:hint="eastAsia" w:ascii="宋体" w:hAnsi="宋体"/>
                <w:bCs/>
                <w:color w:val="auto"/>
                <w:highlight w:val="none"/>
              </w:rPr>
              <w:t>实施方案</w:t>
            </w:r>
          </w:p>
        </w:tc>
        <w:tc>
          <w:tcPr>
            <w:tcW w:w="6381" w:type="dxa"/>
            <w:gridSpan w:val="2"/>
            <w:vAlign w:val="center"/>
          </w:tcPr>
          <w:p w14:paraId="34334863">
            <w:pPr>
              <w:rPr>
                <w:rFonts w:ascii="宋体" w:hAnsi="宋体"/>
                <w:bCs/>
                <w:color w:val="auto"/>
                <w:highlight w:val="none"/>
              </w:rPr>
            </w:pPr>
            <w:r>
              <w:rPr>
                <w:rFonts w:hint="eastAsia" w:ascii="宋体" w:hAnsi="宋体"/>
                <w:bCs/>
                <w:color w:val="auto"/>
                <w:highlight w:val="none"/>
              </w:rPr>
              <w:t>提供肢体（脑瘫）残疾儿童基本康复训练服务的具体实施方案一份</w:t>
            </w:r>
          </w:p>
        </w:tc>
        <w:tc>
          <w:tcPr>
            <w:tcW w:w="1275" w:type="dxa"/>
            <w:vAlign w:val="center"/>
          </w:tcPr>
          <w:p w14:paraId="2E6CCC91">
            <w:pPr>
              <w:rPr>
                <w:rFonts w:ascii="宋体" w:hAnsi="宋体"/>
                <w:color w:val="auto"/>
                <w:highlight w:val="none"/>
              </w:rPr>
            </w:pPr>
          </w:p>
        </w:tc>
      </w:tr>
    </w:tbl>
    <w:p w14:paraId="100D0805">
      <w:pPr>
        <w:rPr>
          <w:b/>
          <w:bCs/>
          <w:color w:val="auto"/>
          <w:sz w:val="24"/>
          <w:szCs w:val="24"/>
          <w:highlight w:val="none"/>
        </w:rPr>
      </w:pPr>
      <w:r>
        <w:rPr>
          <w:rFonts w:hint="eastAsia"/>
          <w:b/>
          <w:bCs/>
          <w:color w:val="auto"/>
          <w:sz w:val="24"/>
          <w:szCs w:val="24"/>
          <w:highlight w:val="none"/>
        </w:rPr>
        <w:t>法定代表人或法定代表人授权代表签字或盖章：</w:t>
      </w:r>
    </w:p>
    <w:p w14:paraId="5EF96435">
      <w:pPr>
        <w:rPr>
          <w:color w:val="auto"/>
          <w:sz w:val="24"/>
          <w:szCs w:val="24"/>
          <w:highlight w:val="none"/>
        </w:rPr>
      </w:pPr>
      <w:r>
        <w:rPr>
          <w:rFonts w:hint="eastAsia"/>
          <w:color w:val="auto"/>
          <w:sz w:val="24"/>
          <w:szCs w:val="24"/>
          <w:highlight w:val="none"/>
        </w:rPr>
        <w:t>注：其余资料可自行添加至此表，</w:t>
      </w:r>
      <w:r>
        <w:rPr>
          <w:color w:val="auto"/>
          <w:sz w:val="24"/>
          <w:szCs w:val="24"/>
          <w:highlight w:val="none"/>
        </w:rPr>
        <w:t>证明材料附在本表后</w:t>
      </w:r>
      <w:r>
        <w:rPr>
          <w:rFonts w:hint="eastAsia"/>
          <w:color w:val="auto"/>
          <w:sz w:val="24"/>
          <w:szCs w:val="24"/>
          <w:highlight w:val="none"/>
        </w:rPr>
        <w:t>。</w:t>
      </w:r>
    </w:p>
    <w:bookmarkEnd w:id="315"/>
    <w:bookmarkEnd w:id="316"/>
    <w:p w14:paraId="0CC3A408">
      <w:pPr>
        <w:jc w:val="center"/>
        <w:rPr>
          <w:rFonts w:ascii="仿宋" w:hAnsi="仿宋" w:eastAsia="仿宋" w:cs="宋体"/>
          <w:b/>
          <w:color w:val="auto"/>
          <w:sz w:val="32"/>
          <w:szCs w:val="32"/>
          <w:highlight w:val="none"/>
        </w:rPr>
      </w:pPr>
      <w:bookmarkStart w:id="321" w:name="OLE_LINK170"/>
      <w:bookmarkStart w:id="322" w:name="OLE_LINK169"/>
      <w:r>
        <w:rPr>
          <w:rFonts w:hint="eastAsia" w:ascii="仿宋" w:hAnsi="仿宋" w:eastAsia="仿宋" w:cs="宋体"/>
          <w:b/>
          <w:color w:val="auto"/>
          <w:sz w:val="32"/>
          <w:szCs w:val="32"/>
          <w:highlight w:val="none"/>
        </w:rPr>
        <w:t>（采购包四）智力残疾儿童基本康复训练服务</w:t>
      </w:r>
    </w:p>
    <w:p w14:paraId="48788EEA">
      <w:pPr>
        <w:rPr>
          <w:rFonts w:ascii="仿宋" w:hAnsi="仿宋" w:eastAsia="仿宋" w:cs="宋体"/>
          <w:b/>
          <w:color w:val="auto"/>
          <w:sz w:val="32"/>
          <w:szCs w:val="32"/>
          <w:highlight w:val="none"/>
        </w:rPr>
      </w:pPr>
      <w:r>
        <w:rPr>
          <w:rFonts w:hint="eastAsia" w:ascii="黑体" w:eastAsia="黑体"/>
          <w:bCs/>
          <w:color w:val="auto"/>
          <w:sz w:val="24"/>
          <w:szCs w:val="24"/>
          <w:highlight w:val="none"/>
        </w:rPr>
        <w:t xml:space="preserve">申请人名称（盖章）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ascii="黑体" w:eastAsia="黑体"/>
          <w:bCs/>
          <w:color w:val="auto"/>
          <w:sz w:val="24"/>
          <w:szCs w:val="24"/>
          <w:highlight w:val="none"/>
        </w:rPr>
        <w:t xml:space="preserve"> </w:t>
      </w:r>
    </w:p>
    <w:tbl>
      <w:tblPr>
        <w:tblStyle w:val="48"/>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6"/>
        <w:gridCol w:w="3826"/>
        <w:gridCol w:w="2555"/>
        <w:gridCol w:w="1275"/>
      </w:tblGrid>
      <w:tr w14:paraId="37EC2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526" w:type="dxa"/>
            <w:vAlign w:val="center"/>
          </w:tcPr>
          <w:p w14:paraId="540F7B57">
            <w:pPr>
              <w:rPr>
                <w:rFonts w:ascii="宋体" w:hAnsi="宋体"/>
                <w:color w:val="auto"/>
                <w:highlight w:val="none"/>
              </w:rPr>
            </w:pPr>
            <w:r>
              <w:rPr>
                <w:rFonts w:ascii="宋体" w:hAnsi="宋体"/>
                <w:color w:val="auto"/>
                <w:highlight w:val="none"/>
              </w:rPr>
              <w:t>采购</w:t>
            </w:r>
            <w:r>
              <w:rPr>
                <w:rFonts w:hint="eastAsia" w:ascii="宋体" w:hAnsi="宋体"/>
                <w:color w:val="auto"/>
                <w:highlight w:val="none"/>
              </w:rPr>
              <w:t>需求</w:t>
            </w:r>
          </w:p>
        </w:tc>
        <w:tc>
          <w:tcPr>
            <w:tcW w:w="3826" w:type="dxa"/>
            <w:vAlign w:val="center"/>
          </w:tcPr>
          <w:p w14:paraId="70FB900B">
            <w:pPr>
              <w:rPr>
                <w:rFonts w:ascii="宋体" w:hAnsi="宋体"/>
                <w:color w:val="auto"/>
                <w:highlight w:val="none"/>
              </w:rPr>
            </w:pPr>
            <w:r>
              <w:rPr>
                <w:rFonts w:hint="eastAsia" w:ascii="宋体" w:hAnsi="宋体"/>
                <w:color w:val="auto"/>
                <w:highlight w:val="none"/>
              </w:rPr>
              <w:t>详细要求</w:t>
            </w:r>
          </w:p>
        </w:tc>
        <w:tc>
          <w:tcPr>
            <w:tcW w:w="2555" w:type="dxa"/>
            <w:vAlign w:val="center"/>
          </w:tcPr>
          <w:p w14:paraId="7DD1F539">
            <w:pPr>
              <w:rPr>
                <w:rFonts w:ascii="宋体" w:hAnsi="宋体"/>
                <w:color w:val="auto"/>
                <w:highlight w:val="none"/>
              </w:rPr>
            </w:pPr>
            <w:r>
              <w:rPr>
                <w:rFonts w:hint="eastAsia" w:ascii="宋体" w:hAnsi="宋体"/>
                <w:color w:val="auto"/>
                <w:highlight w:val="none"/>
              </w:rPr>
              <w:t>证明材料</w:t>
            </w:r>
          </w:p>
        </w:tc>
        <w:tc>
          <w:tcPr>
            <w:tcW w:w="1275" w:type="dxa"/>
            <w:vAlign w:val="center"/>
          </w:tcPr>
          <w:p w14:paraId="7AB975E1">
            <w:pPr>
              <w:rPr>
                <w:rFonts w:ascii="宋体" w:hAnsi="宋体"/>
                <w:color w:val="auto"/>
                <w:highlight w:val="none"/>
              </w:rPr>
            </w:pPr>
            <w:r>
              <w:rPr>
                <w:rFonts w:hint="eastAsia" w:ascii="宋体" w:hAnsi="宋体"/>
                <w:color w:val="auto"/>
                <w:highlight w:val="none"/>
              </w:rPr>
              <w:t>证明材料（有/无）</w:t>
            </w:r>
          </w:p>
        </w:tc>
      </w:tr>
      <w:tr w14:paraId="3ADE6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526" w:type="dxa"/>
            <w:vMerge w:val="restart"/>
            <w:vAlign w:val="center"/>
          </w:tcPr>
          <w:p w14:paraId="78CAAFE7">
            <w:pPr>
              <w:rPr>
                <w:rFonts w:ascii="宋体" w:hAnsi="宋体"/>
                <w:color w:val="auto"/>
                <w:highlight w:val="none"/>
              </w:rPr>
            </w:pPr>
            <w:r>
              <w:rPr>
                <w:rFonts w:hint="eastAsia" w:ascii="宋体" w:hAnsi="宋体"/>
                <w:color w:val="auto"/>
                <w:highlight w:val="none"/>
              </w:rPr>
              <w:t>1</w:t>
            </w:r>
            <w:r>
              <w:rPr>
                <w:rFonts w:ascii="宋体" w:hAnsi="宋体"/>
                <w:color w:val="auto"/>
                <w:highlight w:val="none"/>
              </w:rPr>
              <w:t>.</w:t>
            </w:r>
            <w:r>
              <w:rPr>
                <w:rFonts w:hint="eastAsia" w:ascii="宋体" w:hAnsi="宋体"/>
                <w:color w:val="auto"/>
                <w:highlight w:val="none"/>
              </w:rPr>
              <w:t>建设要求</w:t>
            </w:r>
          </w:p>
        </w:tc>
        <w:tc>
          <w:tcPr>
            <w:tcW w:w="3826" w:type="dxa"/>
            <w:vAlign w:val="center"/>
          </w:tcPr>
          <w:p w14:paraId="12CB2D4D">
            <w:pPr>
              <w:rPr>
                <w:rFonts w:ascii="宋体" w:hAnsi="宋体"/>
                <w:color w:val="auto"/>
                <w:highlight w:val="none"/>
              </w:rPr>
            </w:pPr>
            <w:r>
              <w:rPr>
                <w:rFonts w:hint="eastAsia" w:ascii="宋体" w:hAnsi="宋体"/>
                <w:color w:val="auto"/>
                <w:highlight w:val="none"/>
              </w:rPr>
              <w:t>本地</w:t>
            </w:r>
            <w:r>
              <w:rPr>
                <w:rFonts w:ascii="宋体" w:hAnsi="宋体"/>
                <w:color w:val="auto"/>
                <w:highlight w:val="none"/>
              </w:rPr>
              <w:t>训练场所</w:t>
            </w:r>
            <w:r>
              <w:rPr>
                <w:rFonts w:hint="eastAsia" w:ascii="宋体" w:hAnsi="宋体"/>
                <w:color w:val="auto"/>
                <w:highlight w:val="none"/>
              </w:rPr>
              <w:t>建筑总面积不少于700平方米</w:t>
            </w:r>
          </w:p>
        </w:tc>
        <w:tc>
          <w:tcPr>
            <w:tcW w:w="2555" w:type="dxa"/>
            <w:vMerge w:val="restart"/>
            <w:vAlign w:val="center"/>
          </w:tcPr>
          <w:p w14:paraId="1795AA88">
            <w:pPr>
              <w:rPr>
                <w:rFonts w:ascii="宋体" w:hAnsi="宋体"/>
                <w:color w:val="auto"/>
                <w:highlight w:val="none"/>
              </w:rPr>
            </w:pPr>
            <w:r>
              <w:rPr>
                <w:rFonts w:hint="eastAsia" w:ascii="宋体" w:hAnsi="宋体"/>
                <w:color w:val="auto"/>
                <w:highlight w:val="none"/>
              </w:rPr>
              <w:t>提供房产证或租赁协议，若为租赁协议另需提供房主房产证或其他有效的产权证明，外部环境和内部场所照片及介绍文字</w:t>
            </w:r>
          </w:p>
        </w:tc>
        <w:tc>
          <w:tcPr>
            <w:tcW w:w="1275" w:type="dxa"/>
            <w:vAlign w:val="center"/>
          </w:tcPr>
          <w:p w14:paraId="63BBE8CA">
            <w:pPr>
              <w:rPr>
                <w:rFonts w:ascii="宋体" w:hAnsi="宋体"/>
                <w:color w:val="auto"/>
                <w:highlight w:val="none"/>
              </w:rPr>
            </w:pPr>
          </w:p>
        </w:tc>
      </w:tr>
      <w:tr w14:paraId="1BFE8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526" w:type="dxa"/>
            <w:vMerge w:val="continue"/>
            <w:vAlign w:val="center"/>
          </w:tcPr>
          <w:p w14:paraId="5FD514C8">
            <w:pPr>
              <w:rPr>
                <w:rFonts w:ascii="宋体" w:hAnsi="宋体"/>
                <w:color w:val="auto"/>
                <w:highlight w:val="none"/>
              </w:rPr>
            </w:pPr>
          </w:p>
        </w:tc>
        <w:tc>
          <w:tcPr>
            <w:tcW w:w="3826" w:type="dxa"/>
            <w:vAlign w:val="center"/>
          </w:tcPr>
          <w:p w14:paraId="0C8B2449">
            <w:pPr>
              <w:rPr>
                <w:rFonts w:ascii="宋体" w:hAnsi="宋体"/>
                <w:color w:val="auto"/>
                <w:highlight w:val="none"/>
              </w:rPr>
            </w:pPr>
            <w:r>
              <w:rPr>
                <w:rFonts w:hint="eastAsia" w:ascii="宋体" w:hAnsi="宋体"/>
                <w:color w:val="auto"/>
                <w:highlight w:val="none"/>
              </w:rPr>
              <w:t>业务用房不少于500平方米</w:t>
            </w:r>
          </w:p>
        </w:tc>
        <w:tc>
          <w:tcPr>
            <w:tcW w:w="2555" w:type="dxa"/>
            <w:vMerge w:val="continue"/>
            <w:vAlign w:val="center"/>
          </w:tcPr>
          <w:p w14:paraId="50FBC003">
            <w:pPr>
              <w:rPr>
                <w:rFonts w:ascii="宋体" w:hAnsi="宋体"/>
                <w:color w:val="auto"/>
                <w:highlight w:val="none"/>
              </w:rPr>
            </w:pPr>
          </w:p>
        </w:tc>
        <w:tc>
          <w:tcPr>
            <w:tcW w:w="1275" w:type="dxa"/>
            <w:vAlign w:val="center"/>
          </w:tcPr>
          <w:p w14:paraId="65021578">
            <w:pPr>
              <w:rPr>
                <w:rFonts w:ascii="宋体" w:hAnsi="宋体"/>
                <w:color w:val="auto"/>
                <w:highlight w:val="none"/>
              </w:rPr>
            </w:pPr>
          </w:p>
        </w:tc>
      </w:tr>
      <w:tr w14:paraId="2EFE8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526" w:type="dxa"/>
            <w:vMerge w:val="continue"/>
            <w:vAlign w:val="center"/>
          </w:tcPr>
          <w:p w14:paraId="024FFA31">
            <w:pPr>
              <w:rPr>
                <w:rFonts w:ascii="宋体" w:hAnsi="宋体"/>
                <w:color w:val="auto"/>
                <w:highlight w:val="none"/>
              </w:rPr>
            </w:pPr>
          </w:p>
        </w:tc>
        <w:tc>
          <w:tcPr>
            <w:tcW w:w="3826" w:type="dxa"/>
            <w:vAlign w:val="center"/>
          </w:tcPr>
          <w:p w14:paraId="513DDE7A">
            <w:pPr>
              <w:rPr>
                <w:rFonts w:ascii="宋体" w:hAnsi="宋体"/>
                <w:color w:val="auto"/>
                <w:highlight w:val="none"/>
              </w:rPr>
            </w:pPr>
            <w:r>
              <w:rPr>
                <w:rFonts w:hint="eastAsia" w:ascii="宋体" w:hAnsi="宋体"/>
                <w:color w:val="auto"/>
                <w:highlight w:val="none"/>
              </w:rPr>
              <w:t>本地训练场所应在三层及以下的非地下室，符合国家无障碍通行要求</w:t>
            </w:r>
          </w:p>
        </w:tc>
        <w:tc>
          <w:tcPr>
            <w:tcW w:w="2555" w:type="dxa"/>
            <w:vMerge w:val="continue"/>
            <w:vAlign w:val="center"/>
          </w:tcPr>
          <w:p w14:paraId="4D8CBC66">
            <w:pPr>
              <w:rPr>
                <w:rFonts w:ascii="宋体" w:hAnsi="宋体"/>
                <w:color w:val="auto"/>
                <w:highlight w:val="none"/>
              </w:rPr>
            </w:pPr>
          </w:p>
        </w:tc>
        <w:tc>
          <w:tcPr>
            <w:tcW w:w="1275" w:type="dxa"/>
            <w:vAlign w:val="center"/>
          </w:tcPr>
          <w:p w14:paraId="2B2469E0">
            <w:pPr>
              <w:rPr>
                <w:rFonts w:ascii="宋体" w:hAnsi="宋体"/>
                <w:color w:val="auto"/>
                <w:highlight w:val="none"/>
              </w:rPr>
            </w:pPr>
          </w:p>
        </w:tc>
      </w:tr>
      <w:tr w14:paraId="4D4D0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526" w:type="dxa"/>
            <w:vMerge w:val="restart"/>
            <w:vAlign w:val="center"/>
          </w:tcPr>
          <w:p w14:paraId="74BBF8FF">
            <w:pPr>
              <w:rPr>
                <w:rFonts w:ascii="宋体" w:hAnsi="宋体"/>
                <w:color w:val="auto"/>
                <w:highlight w:val="none"/>
              </w:rPr>
            </w:pPr>
            <w:r>
              <w:rPr>
                <w:rFonts w:hint="eastAsia" w:ascii="宋体" w:hAnsi="宋体"/>
                <w:color w:val="auto"/>
                <w:highlight w:val="none"/>
              </w:rPr>
              <w:t>2</w:t>
            </w:r>
            <w:r>
              <w:rPr>
                <w:rFonts w:ascii="宋体" w:hAnsi="宋体"/>
                <w:color w:val="auto"/>
                <w:highlight w:val="none"/>
              </w:rPr>
              <w:t>.</w:t>
            </w:r>
            <w:r>
              <w:rPr>
                <w:rFonts w:hint="eastAsia" w:ascii="宋体" w:hAnsi="宋体"/>
                <w:color w:val="auto"/>
                <w:highlight w:val="none"/>
              </w:rPr>
              <w:t>训练场地</w:t>
            </w:r>
          </w:p>
        </w:tc>
        <w:tc>
          <w:tcPr>
            <w:tcW w:w="3826" w:type="dxa"/>
            <w:vAlign w:val="center"/>
          </w:tcPr>
          <w:p w14:paraId="6A4C507C">
            <w:pPr>
              <w:rPr>
                <w:rFonts w:ascii="宋体" w:hAnsi="宋体"/>
                <w:color w:val="auto"/>
                <w:highlight w:val="none"/>
              </w:rPr>
            </w:pPr>
            <w:r>
              <w:rPr>
                <w:rFonts w:hint="eastAsia" w:ascii="宋体" w:hAnsi="宋体"/>
                <w:color w:val="auto"/>
                <w:highlight w:val="none"/>
              </w:rPr>
              <w:t>设置至少1间咨询接待(评估)室（不少于15平方米）</w:t>
            </w:r>
          </w:p>
        </w:tc>
        <w:tc>
          <w:tcPr>
            <w:tcW w:w="2555" w:type="dxa"/>
            <w:vMerge w:val="restart"/>
            <w:vAlign w:val="center"/>
          </w:tcPr>
          <w:p w14:paraId="0CB89D03">
            <w:pPr>
              <w:rPr>
                <w:rFonts w:ascii="宋体" w:hAnsi="宋体"/>
                <w:color w:val="auto"/>
                <w:highlight w:val="none"/>
              </w:rPr>
            </w:pPr>
            <w:r>
              <w:rPr>
                <w:rFonts w:hint="eastAsia" w:ascii="宋体" w:hAnsi="宋体"/>
                <w:color w:val="auto"/>
                <w:highlight w:val="none"/>
              </w:rPr>
              <w:t>提供场所平面图并标注出各种功能室，提供各功能室照片</w:t>
            </w:r>
          </w:p>
        </w:tc>
        <w:tc>
          <w:tcPr>
            <w:tcW w:w="1275" w:type="dxa"/>
            <w:vAlign w:val="center"/>
          </w:tcPr>
          <w:p w14:paraId="216C2826">
            <w:pPr>
              <w:rPr>
                <w:rFonts w:ascii="宋体" w:hAnsi="宋体"/>
                <w:color w:val="auto"/>
                <w:highlight w:val="none"/>
              </w:rPr>
            </w:pPr>
          </w:p>
        </w:tc>
      </w:tr>
      <w:tr w14:paraId="7F582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526" w:type="dxa"/>
            <w:vMerge w:val="continue"/>
            <w:vAlign w:val="center"/>
          </w:tcPr>
          <w:p w14:paraId="1FD7FF8C">
            <w:pPr>
              <w:rPr>
                <w:rFonts w:ascii="宋体" w:hAnsi="宋体"/>
                <w:color w:val="auto"/>
                <w:highlight w:val="none"/>
              </w:rPr>
            </w:pPr>
          </w:p>
        </w:tc>
        <w:tc>
          <w:tcPr>
            <w:tcW w:w="3826" w:type="dxa"/>
            <w:vAlign w:val="center"/>
          </w:tcPr>
          <w:p w14:paraId="3C736D5C">
            <w:pPr>
              <w:rPr>
                <w:rFonts w:ascii="宋体" w:hAnsi="宋体"/>
                <w:color w:val="auto"/>
                <w:highlight w:val="none"/>
              </w:rPr>
            </w:pPr>
            <w:r>
              <w:rPr>
                <w:rFonts w:hint="eastAsia" w:ascii="宋体" w:hAnsi="宋体"/>
                <w:color w:val="auto"/>
                <w:highlight w:val="none"/>
              </w:rPr>
              <w:t>设置至少1间集体（组别）教室，内设游戏活动区，每间不少于30平方米</w:t>
            </w:r>
          </w:p>
        </w:tc>
        <w:tc>
          <w:tcPr>
            <w:tcW w:w="2555" w:type="dxa"/>
            <w:vMerge w:val="continue"/>
            <w:vAlign w:val="center"/>
          </w:tcPr>
          <w:p w14:paraId="3337318C">
            <w:pPr>
              <w:rPr>
                <w:rFonts w:ascii="宋体" w:hAnsi="宋体"/>
                <w:color w:val="auto"/>
                <w:highlight w:val="none"/>
              </w:rPr>
            </w:pPr>
          </w:p>
        </w:tc>
        <w:tc>
          <w:tcPr>
            <w:tcW w:w="1275" w:type="dxa"/>
            <w:vAlign w:val="center"/>
          </w:tcPr>
          <w:p w14:paraId="67749A81">
            <w:pPr>
              <w:rPr>
                <w:rFonts w:ascii="宋体" w:hAnsi="宋体"/>
                <w:color w:val="auto"/>
                <w:highlight w:val="none"/>
              </w:rPr>
            </w:pPr>
          </w:p>
        </w:tc>
      </w:tr>
      <w:tr w14:paraId="07FD3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526" w:type="dxa"/>
            <w:vMerge w:val="continue"/>
            <w:vAlign w:val="center"/>
          </w:tcPr>
          <w:p w14:paraId="093FAF6B">
            <w:pPr>
              <w:rPr>
                <w:rFonts w:ascii="宋体" w:hAnsi="宋体"/>
                <w:color w:val="auto"/>
                <w:highlight w:val="none"/>
              </w:rPr>
            </w:pPr>
          </w:p>
        </w:tc>
        <w:tc>
          <w:tcPr>
            <w:tcW w:w="3826" w:type="dxa"/>
            <w:vAlign w:val="center"/>
          </w:tcPr>
          <w:p w14:paraId="6B394DEC">
            <w:pPr>
              <w:rPr>
                <w:rFonts w:ascii="宋体" w:hAnsi="宋体"/>
                <w:color w:val="auto"/>
                <w:highlight w:val="none"/>
              </w:rPr>
            </w:pPr>
            <w:r>
              <w:rPr>
                <w:rFonts w:hint="eastAsia" w:ascii="宋体" w:hAnsi="宋体"/>
                <w:color w:val="auto"/>
                <w:highlight w:val="none"/>
              </w:rPr>
              <w:t>设置至少1间运动/感统训练室 （不少于50平方米）</w:t>
            </w:r>
          </w:p>
        </w:tc>
        <w:tc>
          <w:tcPr>
            <w:tcW w:w="2555" w:type="dxa"/>
            <w:vMerge w:val="continue"/>
            <w:vAlign w:val="center"/>
          </w:tcPr>
          <w:p w14:paraId="106F3D77">
            <w:pPr>
              <w:rPr>
                <w:rFonts w:ascii="宋体" w:hAnsi="宋体"/>
                <w:color w:val="auto"/>
                <w:highlight w:val="none"/>
              </w:rPr>
            </w:pPr>
          </w:p>
        </w:tc>
        <w:tc>
          <w:tcPr>
            <w:tcW w:w="1275" w:type="dxa"/>
            <w:vAlign w:val="center"/>
          </w:tcPr>
          <w:p w14:paraId="1695B2E8">
            <w:pPr>
              <w:rPr>
                <w:rFonts w:ascii="宋体" w:hAnsi="宋体"/>
                <w:color w:val="auto"/>
                <w:highlight w:val="none"/>
              </w:rPr>
            </w:pPr>
          </w:p>
        </w:tc>
      </w:tr>
      <w:tr w14:paraId="0695F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526" w:type="dxa"/>
            <w:vMerge w:val="continue"/>
            <w:vAlign w:val="center"/>
          </w:tcPr>
          <w:p w14:paraId="251A1532">
            <w:pPr>
              <w:rPr>
                <w:rFonts w:ascii="宋体" w:hAnsi="宋体"/>
                <w:color w:val="auto"/>
                <w:highlight w:val="none"/>
              </w:rPr>
            </w:pPr>
          </w:p>
        </w:tc>
        <w:tc>
          <w:tcPr>
            <w:tcW w:w="3826" w:type="dxa"/>
            <w:vAlign w:val="center"/>
          </w:tcPr>
          <w:p w14:paraId="74ABF1E2">
            <w:pPr>
              <w:rPr>
                <w:rFonts w:ascii="宋体" w:hAnsi="宋体"/>
                <w:color w:val="auto"/>
                <w:highlight w:val="none"/>
              </w:rPr>
            </w:pPr>
            <w:r>
              <w:rPr>
                <w:rFonts w:hint="eastAsia" w:ascii="宋体" w:hAnsi="宋体"/>
                <w:color w:val="auto"/>
                <w:highlight w:val="none"/>
              </w:rPr>
              <w:t>设置至少4间个性化训练教室（每间不少于8平方米）</w:t>
            </w:r>
          </w:p>
        </w:tc>
        <w:tc>
          <w:tcPr>
            <w:tcW w:w="2555" w:type="dxa"/>
            <w:vMerge w:val="continue"/>
            <w:vAlign w:val="center"/>
          </w:tcPr>
          <w:p w14:paraId="036B5953">
            <w:pPr>
              <w:rPr>
                <w:rFonts w:ascii="宋体" w:hAnsi="宋体"/>
                <w:color w:val="auto"/>
                <w:highlight w:val="none"/>
              </w:rPr>
            </w:pPr>
          </w:p>
        </w:tc>
        <w:tc>
          <w:tcPr>
            <w:tcW w:w="1275" w:type="dxa"/>
            <w:vAlign w:val="center"/>
          </w:tcPr>
          <w:p w14:paraId="484E801F">
            <w:pPr>
              <w:rPr>
                <w:rFonts w:ascii="宋体" w:hAnsi="宋体"/>
                <w:color w:val="auto"/>
                <w:highlight w:val="none"/>
              </w:rPr>
            </w:pPr>
          </w:p>
        </w:tc>
      </w:tr>
      <w:tr w14:paraId="7961E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74EDF3E9">
            <w:pPr>
              <w:rPr>
                <w:rFonts w:ascii="宋体" w:hAnsi="宋体"/>
                <w:color w:val="auto"/>
                <w:highlight w:val="none"/>
              </w:rPr>
            </w:pPr>
          </w:p>
        </w:tc>
        <w:tc>
          <w:tcPr>
            <w:tcW w:w="3826" w:type="dxa"/>
            <w:vAlign w:val="center"/>
          </w:tcPr>
          <w:p w14:paraId="67B328B4">
            <w:pPr>
              <w:rPr>
                <w:rFonts w:ascii="宋体" w:hAnsi="宋体"/>
                <w:color w:val="auto"/>
                <w:highlight w:val="none"/>
              </w:rPr>
            </w:pPr>
            <w:r>
              <w:rPr>
                <w:rFonts w:hint="eastAsia" w:ascii="宋体" w:hAnsi="宋体"/>
                <w:color w:val="auto"/>
                <w:highlight w:val="none"/>
              </w:rPr>
              <w:t>设置生活自理能力训练区（包括洗漱、就餐、更衣、如厕等区域）,可结合机构日常生活环境布置</w:t>
            </w:r>
          </w:p>
        </w:tc>
        <w:tc>
          <w:tcPr>
            <w:tcW w:w="2555" w:type="dxa"/>
            <w:vMerge w:val="continue"/>
            <w:vAlign w:val="center"/>
          </w:tcPr>
          <w:p w14:paraId="5F2D735B">
            <w:pPr>
              <w:rPr>
                <w:rFonts w:ascii="宋体" w:hAnsi="宋体"/>
                <w:color w:val="auto"/>
                <w:highlight w:val="none"/>
              </w:rPr>
            </w:pPr>
          </w:p>
        </w:tc>
        <w:tc>
          <w:tcPr>
            <w:tcW w:w="1275" w:type="dxa"/>
            <w:vAlign w:val="center"/>
          </w:tcPr>
          <w:p w14:paraId="6DAF4E76">
            <w:pPr>
              <w:rPr>
                <w:rFonts w:ascii="宋体" w:hAnsi="宋体"/>
                <w:color w:val="auto"/>
                <w:highlight w:val="none"/>
              </w:rPr>
            </w:pPr>
          </w:p>
        </w:tc>
      </w:tr>
      <w:tr w14:paraId="2BF48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3CF3FD1E">
            <w:pPr>
              <w:rPr>
                <w:rFonts w:ascii="宋体" w:hAnsi="宋体"/>
                <w:color w:val="auto"/>
                <w:highlight w:val="none"/>
              </w:rPr>
            </w:pPr>
          </w:p>
        </w:tc>
        <w:tc>
          <w:tcPr>
            <w:tcW w:w="3826" w:type="dxa"/>
            <w:vAlign w:val="center"/>
          </w:tcPr>
          <w:p w14:paraId="77424BA0">
            <w:pPr>
              <w:rPr>
                <w:rFonts w:ascii="宋体" w:hAnsi="宋体"/>
                <w:color w:val="auto"/>
                <w:highlight w:val="none"/>
              </w:rPr>
            </w:pPr>
            <w:r>
              <w:rPr>
                <w:rFonts w:hint="eastAsia" w:ascii="宋体" w:hAnsi="宋体"/>
                <w:color w:val="auto"/>
                <w:highlight w:val="none"/>
              </w:rPr>
              <w:t>有独立的室外活动场地，设有安全提示标志和安全设施，确保无安全隐患</w:t>
            </w:r>
          </w:p>
        </w:tc>
        <w:tc>
          <w:tcPr>
            <w:tcW w:w="2555" w:type="dxa"/>
            <w:vMerge w:val="continue"/>
            <w:vAlign w:val="center"/>
          </w:tcPr>
          <w:p w14:paraId="455C3043">
            <w:pPr>
              <w:rPr>
                <w:rFonts w:ascii="宋体" w:hAnsi="宋体"/>
                <w:color w:val="auto"/>
                <w:highlight w:val="none"/>
              </w:rPr>
            </w:pPr>
          </w:p>
        </w:tc>
        <w:tc>
          <w:tcPr>
            <w:tcW w:w="1275" w:type="dxa"/>
            <w:vAlign w:val="center"/>
          </w:tcPr>
          <w:p w14:paraId="7CB44CD5">
            <w:pPr>
              <w:rPr>
                <w:rFonts w:ascii="宋体" w:hAnsi="宋体"/>
                <w:color w:val="auto"/>
                <w:highlight w:val="none"/>
              </w:rPr>
            </w:pPr>
          </w:p>
        </w:tc>
      </w:tr>
      <w:tr w14:paraId="23CBF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restart"/>
            <w:vAlign w:val="center"/>
          </w:tcPr>
          <w:p w14:paraId="5EEE11B4">
            <w:pPr>
              <w:rPr>
                <w:rFonts w:ascii="宋体" w:hAnsi="宋体"/>
                <w:color w:val="auto"/>
                <w:highlight w:val="none"/>
              </w:rPr>
            </w:pPr>
            <w:r>
              <w:rPr>
                <w:rFonts w:hint="eastAsia" w:ascii="宋体" w:hAnsi="宋体"/>
                <w:color w:val="auto"/>
                <w:highlight w:val="none"/>
              </w:rPr>
              <w:t>3.</w:t>
            </w:r>
            <w:r>
              <w:rPr>
                <w:rFonts w:ascii="宋体" w:hAnsi="宋体"/>
                <w:color w:val="auto"/>
                <w:highlight w:val="none"/>
              </w:rPr>
              <w:t xml:space="preserve"> </w:t>
            </w:r>
            <w:r>
              <w:rPr>
                <w:rFonts w:hint="eastAsia" w:ascii="宋体" w:hAnsi="宋体"/>
                <w:color w:val="auto"/>
                <w:highlight w:val="none"/>
              </w:rPr>
              <w:t>训练设备</w:t>
            </w:r>
          </w:p>
        </w:tc>
        <w:tc>
          <w:tcPr>
            <w:tcW w:w="3826" w:type="dxa"/>
            <w:vAlign w:val="center"/>
          </w:tcPr>
          <w:p w14:paraId="6E2A1CA0">
            <w:pPr>
              <w:rPr>
                <w:rFonts w:ascii="宋体" w:hAnsi="宋体"/>
                <w:color w:val="auto"/>
                <w:highlight w:val="none"/>
              </w:rPr>
            </w:pPr>
            <w:r>
              <w:rPr>
                <w:rFonts w:hint="eastAsia" w:ascii="宋体" w:hAnsi="宋体"/>
                <w:color w:val="auto"/>
                <w:highlight w:val="none"/>
              </w:rPr>
              <w:t>康复评估工具：配备能对智力残疾儿童进行运动、感知、言语、生活自理、社会适应、认知能力评估量表和工具，至少配备2种</w:t>
            </w:r>
          </w:p>
        </w:tc>
        <w:tc>
          <w:tcPr>
            <w:tcW w:w="2555" w:type="dxa"/>
            <w:vMerge w:val="restart"/>
            <w:vAlign w:val="center"/>
          </w:tcPr>
          <w:p w14:paraId="60991817">
            <w:pPr>
              <w:rPr>
                <w:rFonts w:ascii="宋体" w:hAnsi="宋体"/>
                <w:bCs/>
                <w:color w:val="auto"/>
                <w:highlight w:val="none"/>
              </w:rPr>
            </w:pPr>
            <w:r>
              <w:rPr>
                <w:rFonts w:hint="eastAsia" w:ascii="宋体" w:hAnsi="宋体"/>
                <w:bCs/>
                <w:color w:val="auto"/>
                <w:highlight w:val="none"/>
              </w:rPr>
              <w:t>提供清单及使用过程中的照片</w:t>
            </w:r>
          </w:p>
        </w:tc>
        <w:tc>
          <w:tcPr>
            <w:tcW w:w="1275" w:type="dxa"/>
            <w:vAlign w:val="center"/>
          </w:tcPr>
          <w:p w14:paraId="6C3E0ED5">
            <w:pPr>
              <w:rPr>
                <w:rFonts w:ascii="宋体" w:hAnsi="宋体"/>
                <w:color w:val="auto"/>
                <w:highlight w:val="none"/>
              </w:rPr>
            </w:pPr>
          </w:p>
        </w:tc>
      </w:tr>
      <w:tr w14:paraId="6CC6A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61FB7E9B">
            <w:pPr>
              <w:rPr>
                <w:rFonts w:ascii="宋体" w:hAnsi="宋体"/>
                <w:color w:val="auto"/>
                <w:highlight w:val="none"/>
              </w:rPr>
            </w:pPr>
          </w:p>
        </w:tc>
        <w:tc>
          <w:tcPr>
            <w:tcW w:w="3826" w:type="dxa"/>
            <w:vAlign w:val="center"/>
          </w:tcPr>
          <w:p w14:paraId="0834DD60">
            <w:pPr>
              <w:rPr>
                <w:rFonts w:ascii="宋体" w:hAnsi="宋体"/>
                <w:color w:val="auto"/>
                <w:highlight w:val="none"/>
              </w:rPr>
            </w:pPr>
            <w:bookmarkStart w:id="323" w:name="OLE_LINK136"/>
            <w:bookmarkStart w:id="324" w:name="OLE_LINK135"/>
            <w:r>
              <w:rPr>
                <w:rFonts w:hint="eastAsia" w:ascii="宋体" w:hAnsi="宋体"/>
                <w:color w:val="auto"/>
                <w:highlight w:val="none"/>
              </w:rPr>
              <w:t xml:space="preserve">康复训练设备：配备 </w:t>
            </w:r>
            <w:r>
              <w:rPr>
                <w:rFonts w:ascii="宋体" w:hAnsi="宋体"/>
                <w:color w:val="auto"/>
                <w:highlight w:val="none"/>
              </w:rPr>
              <w:t>PT</w:t>
            </w:r>
            <w:r>
              <w:rPr>
                <w:rFonts w:hint="eastAsia" w:ascii="宋体" w:hAnsi="宋体"/>
                <w:color w:val="auto"/>
                <w:highlight w:val="none"/>
              </w:rPr>
              <w:t>软垫（床）、滑板车、大滑板、吊筒、钻滚筒、羊角球、大龙球、布袋跳、触觉球、按摩地垫、平衡木、平衡踩踏车、万象组合包、精细运动训练玩具等。</w:t>
            </w:r>
            <w:bookmarkEnd w:id="323"/>
            <w:bookmarkEnd w:id="324"/>
          </w:p>
        </w:tc>
        <w:tc>
          <w:tcPr>
            <w:tcW w:w="2555" w:type="dxa"/>
            <w:vMerge w:val="continue"/>
            <w:vAlign w:val="center"/>
          </w:tcPr>
          <w:p w14:paraId="6F1D4FEA">
            <w:pPr>
              <w:rPr>
                <w:rFonts w:ascii="宋体" w:hAnsi="宋体"/>
                <w:bCs/>
                <w:color w:val="auto"/>
                <w:highlight w:val="none"/>
              </w:rPr>
            </w:pPr>
          </w:p>
        </w:tc>
        <w:tc>
          <w:tcPr>
            <w:tcW w:w="1275" w:type="dxa"/>
            <w:vAlign w:val="center"/>
          </w:tcPr>
          <w:p w14:paraId="528FAC02">
            <w:pPr>
              <w:rPr>
                <w:rFonts w:ascii="宋体" w:hAnsi="宋体"/>
                <w:color w:val="auto"/>
                <w:highlight w:val="none"/>
              </w:rPr>
            </w:pPr>
          </w:p>
        </w:tc>
      </w:tr>
      <w:tr w14:paraId="38289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1C03DE97">
            <w:pPr>
              <w:rPr>
                <w:rFonts w:ascii="宋体" w:hAnsi="宋体"/>
                <w:color w:val="auto"/>
                <w:highlight w:val="none"/>
              </w:rPr>
            </w:pPr>
          </w:p>
        </w:tc>
        <w:tc>
          <w:tcPr>
            <w:tcW w:w="3826" w:type="dxa"/>
            <w:vAlign w:val="center"/>
          </w:tcPr>
          <w:p w14:paraId="5B7F0F29">
            <w:pPr>
              <w:rPr>
                <w:rFonts w:ascii="宋体" w:hAnsi="宋体"/>
                <w:color w:val="auto"/>
                <w:highlight w:val="none"/>
              </w:rPr>
            </w:pPr>
            <w:r>
              <w:rPr>
                <w:rFonts w:hint="eastAsia" w:ascii="宋体" w:hAnsi="宋体"/>
                <w:color w:val="auto"/>
                <w:highlight w:val="none"/>
              </w:rPr>
              <w:t>教学设备：配备儿童的课桌椅、大小黑（白）板、多媒体教学；适合儿童特点的挂图、卡片、玩具；配备至少80件符合儿童训练特点的各类玩具和图书。配备家长培训所需的教学设备。</w:t>
            </w:r>
          </w:p>
        </w:tc>
        <w:tc>
          <w:tcPr>
            <w:tcW w:w="2555" w:type="dxa"/>
            <w:vMerge w:val="continue"/>
            <w:vAlign w:val="center"/>
          </w:tcPr>
          <w:p w14:paraId="34757C99">
            <w:pPr>
              <w:rPr>
                <w:rFonts w:ascii="宋体" w:hAnsi="宋体"/>
                <w:bCs/>
                <w:color w:val="auto"/>
                <w:highlight w:val="none"/>
              </w:rPr>
            </w:pPr>
          </w:p>
        </w:tc>
        <w:tc>
          <w:tcPr>
            <w:tcW w:w="1275" w:type="dxa"/>
            <w:vAlign w:val="center"/>
          </w:tcPr>
          <w:p w14:paraId="1A39D838">
            <w:pPr>
              <w:rPr>
                <w:rFonts w:ascii="宋体" w:hAnsi="宋体"/>
                <w:color w:val="auto"/>
                <w:highlight w:val="none"/>
              </w:rPr>
            </w:pPr>
          </w:p>
        </w:tc>
      </w:tr>
      <w:tr w14:paraId="638C7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restart"/>
            <w:vAlign w:val="center"/>
          </w:tcPr>
          <w:p w14:paraId="0980C1AD">
            <w:pPr>
              <w:rPr>
                <w:rFonts w:ascii="宋体" w:hAnsi="宋体"/>
                <w:color w:val="auto"/>
                <w:highlight w:val="none"/>
              </w:rPr>
            </w:pPr>
            <w:r>
              <w:rPr>
                <w:rFonts w:hint="eastAsia" w:ascii="宋体" w:hAnsi="宋体"/>
                <w:bCs/>
                <w:color w:val="auto"/>
                <w:highlight w:val="none"/>
              </w:rPr>
              <w:t>4.</w:t>
            </w:r>
            <w:r>
              <w:rPr>
                <w:rFonts w:ascii="宋体" w:hAnsi="宋体"/>
                <w:bCs/>
                <w:color w:val="auto"/>
                <w:highlight w:val="none"/>
              </w:rPr>
              <w:t xml:space="preserve"> </w:t>
            </w:r>
            <w:r>
              <w:rPr>
                <w:rFonts w:hint="eastAsia" w:ascii="宋体" w:hAnsi="宋体"/>
                <w:bCs/>
                <w:color w:val="auto"/>
                <w:highlight w:val="none"/>
              </w:rPr>
              <w:t>人员配备</w:t>
            </w:r>
          </w:p>
        </w:tc>
        <w:tc>
          <w:tcPr>
            <w:tcW w:w="3826" w:type="dxa"/>
            <w:vAlign w:val="center"/>
          </w:tcPr>
          <w:p w14:paraId="2B92C9B0">
            <w:pPr>
              <w:rPr>
                <w:rFonts w:ascii="宋体" w:hAnsi="宋体"/>
                <w:bCs/>
                <w:color w:val="auto"/>
                <w:highlight w:val="none"/>
              </w:rPr>
            </w:pPr>
            <w:r>
              <w:rPr>
                <w:rFonts w:hint="eastAsia" w:ascii="宋体" w:hAnsi="宋体"/>
                <w:bCs/>
                <w:color w:val="auto"/>
                <w:highlight w:val="none"/>
              </w:rPr>
              <w:t>至少配备1名康复业务主管（具有教育、医疗、康复、心理等相关专业本科以上学历，三年以上机构管理工作经验）</w:t>
            </w:r>
          </w:p>
        </w:tc>
        <w:tc>
          <w:tcPr>
            <w:tcW w:w="2555" w:type="dxa"/>
            <w:vMerge w:val="restart"/>
            <w:vAlign w:val="center"/>
          </w:tcPr>
          <w:p w14:paraId="3950357C">
            <w:pPr>
              <w:rPr>
                <w:rFonts w:ascii="宋体" w:hAnsi="宋体"/>
                <w:bCs/>
                <w:color w:val="auto"/>
                <w:highlight w:val="none"/>
              </w:rPr>
            </w:pPr>
            <w:r>
              <w:rPr>
                <w:rFonts w:hint="eastAsia" w:ascii="宋体" w:hAnsi="宋体"/>
                <w:bCs/>
                <w:color w:val="auto"/>
                <w:highlight w:val="none"/>
              </w:rPr>
              <w:t>提供《项目人员配置清单》和《在训儿童清单》（格式见附件</w:t>
            </w:r>
            <w:r>
              <w:rPr>
                <w:rFonts w:ascii="宋体" w:hAnsi="宋体"/>
                <w:bCs/>
                <w:color w:val="auto"/>
                <w:highlight w:val="none"/>
              </w:rPr>
              <w:t>1</w:t>
            </w:r>
            <w:r>
              <w:rPr>
                <w:rFonts w:hint="eastAsia" w:ascii="宋体" w:hAnsi="宋体"/>
                <w:bCs/>
                <w:color w:val="auto"/>
                <w:highlight w:val="none"/>
              </w:rPr>
              <w:t>、</w:t>
            </w:r>
            <w:r>
              <w:rPr>
                <w:rFonts w:ascii="宋体" w:hAnsi="宋体"/>
                <w:bCs/>
                <w:color w:val="auto"/>
                <w:highlight w:val="none"/>
              </w:rPr>
              <w:t>2</w:t>
            </w:r>
            <w:r>
              <w:rPr>
                <w:rFonts w:hint="eastAsia" w:ascii="宋体" w:hAnsi="宋体"/>
                <w:bCs/>
                <w:color w:val="auto"/>
                <w:highlight w:val="none"/>
              </w:rPr>
              <w:t>），并按要求提供证明材料（人员学历证书（或学信网相关查询记录）、工作经验相关证明、资格证书、申请人近三个月中任意一个月份（不含征集当月）为其缴纳社保的证明、健康检查合格证明或体检报告，公办机构的编外劳务派遣专业技术人员的另需提供第三方劳务派遣协议等证明资料）。</w:t>
            </w:r>
          </w:p>
        </w:tc>
        <w:tc>
          <w:tcPr>
            <w:tcW w:w="1275" w:type="dxa"/>
            <w:vAlign w:val="center"/>
          </w:tcPr>
          <w:p w14:paraId="5520BA00">
            <w:pPr>
              <w:rPr>
                <w:rFonts w:ascii="宋体" w:hAnsi="宋体"/>
                <w:color w:val="auto"/>
                <w:highlight w:val="none"/>
              </w:rPr>
            </w:pPr>
          </w:p>
        </w:tc>
      </w:tr>
      <w:tr w14:paraId="37CCF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1ED81459">
            <w:pPr>
              <w:rPr>
                <w:rFonts w:ascii="宋体" w:hAnsi="宋体"/>
                <w:color w:val="auto"/>
                <w:highlight w:val="none"/>
              </w:rPr>
            </w:pPr>
          </w:p>
        </w:tc>
        <w:tc>
          <w:tcPr>
            <w:tcW w:w="3826" w:type="dxa"/>
            <w:vAlign w:val="center"/>
          </w:tcPr>
          <w:p w14:paraId="62914E68">
            <w:pPr>
              <w:rPr>
                <w:rFonts w:ascii="宋体" w:hAnsi="宋体"/>
                <w:bCs/>
                <w:color w:val="auto"/>
                <w:highlight w:val="none"/>
              </w:rPr>
            </w:pPr>
            <w:r>
              <w:rPr>
                <w:rFonts w:hint="eastAsia" w:ascii="宋体" w:hAnsi="宋体"/>
                <w:bCs/>
                <w:color w:val="auto"/>
                <w:highlight w:val="none"/>
              </w:rPr>
              <w:t>医疗类机构：配备至少1名康复医师，具有康复医学与理疗学、儿科、中医或中西医专业背景本科以上学历，取得国家医师资格证书并注册在本机构。教育类机构：配备至少3名康复教师，具有特殊教育、学前教育、心理学等相关专业背景大专以上学历，并取得教师资格证。</w:t>
            </w:r>
          </w:p>
        </w:tc>
        <w:tc>
          <w:tcPr>
            <w:tcW w:w="2555" w:type="dxa"/>
            <w:vMerge w:val="continue"/>
            <w:vAlign w:val="center"/>
          </w:tcPr>
          <w:p w14:paraId="7B79CED5">
            <w:pPr>
              <w:rPr>
                <w:rFonts w:ascii="宋体" w:hAnsi="宋体"/>
                <w:bCs/>
                <w:color w:val="auto"/>
                <w:highlight w:val="none"/>
              </w:rPr>
            </w:pPr>
          </w:p>
        </w:tc>
        <w:tc>
          <w:tcPr>
            <w:tcW w:w="1275" w:type="dxa"/>
            <w:vAlign w:val="center"/>
          </w:tcPr>
          <w:p w14:paraId="0B00C688">
            <w:pPr>
              <w:rPr>
                <w:rFonts w:ascii="宋体" w:hAnsi="宋体"/>
                <w:color w:val="auto"/>
                <w:highlight w:val="none"/>
              </w:rPr>
            </w:pPr>
          </w:p>
        </w:tc>
      </w:tr>
      <w:tr w14:paraId="2E57C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4DACB884">
            <w:pPr>
              <w:rPr>
                <w:rFonts w:ascii="宋体" w:hAnsi="宋体"/>
                <w:color w:val="auto"/>
                <w:highlight w:val="none"/>
              </w:rPr>
            </w:pPr>
          </w:p>
        </w:tc>
        <w:tc>
          <w:tcPr>
            <w:tcW w:w="3826" w:type="dxa"/>
            <w:vAlign w:val="center"/>
          </w:tcPr>
          <w:p w14:paraId="762F82C8">
            <w:pPr>
              <w:rPr>
                <w:rFonts w:ascii="宋体" w:hAnsi="宋体"/>
                <w:bCs/>
                <w:color w:val="auto"/>
                <w:highlight w:val="none"/>
              </w:rPr>
            </w:pPr>
            <w:r>
              <w:rPr>
                <w:rFonts w:hint="eastAsia" w:ascii="宋体" w:hAnsi="宋体"/>
                <w:bCs/>
                <w:color w:val="auto"/>
                <w:highlight w:val="none"/>
              </w:rPr>
              <w:t>至少配备2名康复治疗师，具有医疗、康复、护理相关专业背景大专以上学历，并取得相应执业资格</w:t>
            </w:r>
          </w:p>
        </w:tc>
        <w:tc>
          <w:tcPr>
            <w:tcW w:w="2555" w:type="dxa"/>
            <w:vMerge w:val="continue"/>
            <w:vAlign w:val="center"/>
          </w:tcPr>
          <w:p w14:paraId="17B922E7">
            <w:pPr>
              <w:rPr>
                <w:rFonts w:ascii="宋体" w:hAnsi="宋体"/>
                <w:bCs/>
                <w:color w:val="auto"/>
                <w:highlight w:val="none"/>
              </w:rPr>
            </w:pPr>
          </w:p>
        </w:tc>
        <w:tc>
          <w:tcPr>
            <w:tcW w:w="1275" w:type="dxa"/>
            <w:vAlign w:val="center"/>
          </w:tcPr>
          <w:p w14:paraId="347CAF24">
            <w:pPr>
              <w:rPr>
                <w:rFonts w:ascii="宋体" w:hAnsi="宋体"/>
                <w:color w:val="auto"/>
                <w:highlight w:val="none"/>
              </w:rPr>
            </w:pPr>
          </w:p>
        </w:tc>
      </w:tr>
      <w:tr w14:paraId="28C85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795C5EB4">
            <w:pPr>
              <w:rPr>
                <w:rFonts w:ascii="宋体" w:hAnsi="宋体"/>
                <w:color w:val="auto"/>
                <w:highlight w:val="none"/>
              </w:rPr>
            </w:pPr>
          </w:p>
        </w:tc>
        <w:tc>
          <w:tcPr>
            <w:tcW w:w="3826" w:type="dxa"/>
            <w:vAlign w:val="center"/>
          </w:tcPr>
          <w:p w14:paraId="67AA26B6">
            <w:pPr>
              <w:rPr>
                <w:rFonts w:ascii="宋体" w:hAnsi="宋体"/>
                <w:bCs/>
                <w:color w:val="auto"/>
                <w:highlight w:val="none"/>
              </w:rPr>
            </w:pPr>
            <w:r>
              <w:rPr>
                <w:rFonts w:hint="eastAsia" w:ascii="宋体" w:hAnsi="宋体"/>
                <w:bCs/>
                <w:color w:val="auto"/>
                <w:highlight w:val="none"/>
              </w:rPr>
              <w:t>上述专业技术人员均在本单位缴纳社会保险，均应取得健康证明</w:t>
            </w:r>
          </w:p>
        </w:tc>
        <w:tc>
          <w:tcPr>
            <w:tcW w:w="2555" w:type="dxa"/>
            <w:vMerge w:val="continue"/>
            <w:vAlign w:val="center"/>
          </w:tcPr>
          <w:p w14:paraId="059BEF9C">
            <w:pPr>
              <w:rPr>
                <w:rFonts w:ascii="宋体" w:hAnsi="宋体"/>
                <w:bCs/>
                <w:color w:val="auto"/>
                <w:highlight w:val="none"/>
              </w:rPr>
            </w:pPr>
          </w:p>
        </w:tc>
        <w:tc>
          <w:tcPr>
            <w:tcW w:w="1275" w:type="dxa"/>
            <w:vAlign w:val="center"/>
          </w:tcPr>
          <w:p w14:paraId="4A43DED5">
            <w:pPr>
              <w:rPr>
                <w:rFonts w:ascii="宋体" w:hAnsi="宋体"/>
                <w:color w:val="auto"/>
                <w:highlight w:val="none"/>
              </w:rPr>
            </w:pPr>
          </w:p>
        </w:tc>
      </w:tr>
      <w:tr w14:paraId="19022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299E2DD9">
            <w:pPr>
              <w:rPr>
                <w:rFonts w:ascii="宋体" w:hAnsi="宋体"/>
                <w:color w:val="auto"/>
                <w:highlight w:val="none"/>
              </w:rPr>
            </w:pPr>
          </w:p>
        </w:tc>
        <w:tc>
          <w:tcPr>
            <w:tcW w:w="3826" w:type="dxa"/>
            <w:vAlign w:val="center"/>
          </w:tcPr>
          <w:p w14:paraId="3451A8D6">
            <w:pPr>
              <w:rPr>
                <w:rFonts w:ascii="宋体" w:hAnsi="宋体"/>
                <w:bCs/>
                <w:color w:val="auto"/>
                <w:highlight w:val="none"/>
              </w:rPr>
            </w:pPr>
            <w:r>
              <w:rPr>
                <w:rFonts w:hint="eastAsia" w:ascii="宋体" w:hAnsi="宋体"/>
                <w:bCs/>
                <w:color w:val="auto"/>
                <w:highlight w:val="none"/>
              </w:rPr>
              <w:t>个训教师与残疾儿童比例不低于</w:t>
            </w:r>
            <w:r>
              <w:rPr>
                <w:rFonts w:ascii="宋体" w:hAnsi="宋体"/>
                <w:bCs/>
                <w:color w:val="auto"/>
                <w:highlight w:val="none"/>
              </w:rPr>
              <w:t>1:8</w:t>
            </w:r>
            <w:r>
              <w:rPr>
                <w:rFonts w:hint="eastAsia" w:ascii="宋体" w:hAnsi="宋体"/>
                <w:bCs/>
                <w:color w:val="auto"/>
                <w:highlight w:val="none"/>
              </w:rPr>
              <w:t>；康复治疗师与残疾儿童的比例不低于</w:t>
            </w:r>
            <w:r>
              <w:rPr>
                <w:rFonts w:ascii="宋体" w:hAnsi="宋体"/>
                <w:bCs/>
                <w:color w:val="auto"/>
                <w:highlight w:val="none"/>
              </w:rPr>
              <w:t>1:15</w:t>
            </w:r>
          </w:p>
        </w:tc>
        <w:tc>
          <w:tcPr>
            <w:tcW w:w="2555" w:type="dxa"/>
            <w:vMerge w:val="continue"/>
            <w:vAlign w:val="center"/>
          </w:tcPr>
          <w:p w14:paraId="3BC6ECC3">
            <w:pPr>
              <w:rPr>
                <w:rFonts w:ascii="宋体" w:hAnsi="宋体"/>
                <w:bCs/>
                <w:color w:val="auto"/>
                <w:highlight w:val="none"/>
              </w:rPr>
            </w:pPr>
          </w:p>
        </w:tc>
        <w:tc>
          <w:tcPr>
            <w:tcW w:w="1275" w:type="dxa"/>
            <w:vAlign w:val="center"/>
          </w:tcPr>
          <w:p w14:paraId="5975D891">
            <w:pPr>
              <w:rPr>
                <w:rFonts w:ascii="宋体" w:hAnsi="宋体"/>
                <w:color w:val="auto"/>
                <w:highlight w:val="none"/>
              </w:rPr>
            </w:pPr>
          </w:p>
        </w:tc>
      </w:tr>
      <w:tr w14:paraId="22CD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restart"/>
            <w:vAlign w:val="center"/>
          </w:tcPr>
          <w:p w14:paraId="030AE310">
            <w:pPr>
              <w:rPr>
                <w:rFonts w:ascii="宋体" w:hAnsi="宋体"/>
                <w:bCs/>
                <w:color w:val="auto"/>
                <w:highlight w:val="none"/>
              </w:rPr>
            </w:pPr>
            <w:r>
              <w:rPr>
                <w:rFonts w:hint="eastAsia" w:ascii="宋体" w:hAnsi="宋体"/>
                <w:bCs/>
                <w:color w:val="auto"/>
                <w:highlight w:val="none"/>
              </w:rPr>
              <w:t>5.服务能力</w:t>
            </w:r>
          </w:p>
        </w:tc>
        <w:tc>
          <w:tcPr>
            <w:tcW w:w="3826" w:type="dxa"/>
            <w:vAlign w:val="center"/>
          </w:tcPr>
          <w:p w14:paraId="53B58FC3">
            <w:pPr>
              <w:rPr>
                <w:rFonts w:ascii="宋体" w:hAnsi="宋体"/>
                <w:bCs/>
                <w:color w:val="auto"/>
                <w:highlight w:val="none"/>
              </w:rPr>
            </w:pPr>
            <w:r>
              <w:rPr>
                <w:rFonts w:hint="eastAsia" w:ascii="宋体" w:hAnsi="宋体"/>
                <w:bCs/>
                <w:color w:val="auto"/>
                <w:highlight w:val="none"/>
              </w:rPr>
              <w:t>目前在训或投标前1年内训练周期不少于3个月的智力障碍儿童不少于10名</w:t>
            </w:r>
          </w:p>
        </w:tc>
        <w:tc>
          <w:tcPr>
            <w:tcW w:w="2555" w:type="dxa"/>
            <w:vAlign w:val="center"/>
          </w:tcPr>
          <w:p w14:paraId="77591976">
            <w:pPr>
              <w:rPr>
                <w:rFonts w:ascii="宋体" w:hAnsi="宋体"/>
                <w:bCs/>
                <w:color w:val="auto"/>
                <w:highlight w:val="none"/>
              </w:rPr>
            </w:pPr>
            <w:r>
              <w:rPr>
                <w:rFonts w:hint="eastAsia" w:ascii="宋体" w:hAnsi="宋体"/>
                <w:bCs/>
                <w:color w:val="auto"/>
                <w:highlight w:val="none"/>
              </w:rPr>
              <w:t>提供《在训儿童清单》，每名儿童均需出具三级医疗机构出具的医疗诊断书（诊断明确为唐氏综合症、智力障碍、发育迟缓等）或智力残疾人证，已纳入康复救助的在训儿童可以无锡市残联信息系统康复救助审核通过的截图代替</w:t>
            </w:r>
          </w:p>
        </w:tc>
        <w:tc>
          <w:tcPr>
            <w:tcW w:w="1275" w:type="dxa"/>
            <w:vAlign w:val="center"/>
          </w:tcPr>
          <w:p w14:paraId="3032AABF">
            <w:pPr>
              <w:rPr>
                <w:rFonts w:ascii="宋体" w:hAnsi="宋体"/>
                <w:color w:val="auto"/>
                <w:highlight w:val="none"/>
              </w:rPr>
            </w:pPr>
          </w:p>
        </w:tc>
      </w:tr>
      <w:tr w14:paraId="1C715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32EAD9D6">
            <w:pPr>
              <w:rPr>
                <w:rFonts w:ascii="宋体" w:hAnsi="宋体"/>
                <w:bCs/>
                <w:color w:val="auto"/>
                <w:highlight w:val="none"/>
              </w:rPr>
            </w:pPr>
          </w:p>
        </w:tc>
        <w:tc>
          <w:tcPr>
            <w:tcW w:w="3826" w:type="dxa"/>
            <w:vAlign w:val="center"/>
          </w:tcPr>
          <w:p w14:paraId="76B3A54E">
            <w:pPr>
              <w:rPr>
                <w:rFonts w:ascii="宋体" w:hAnsi="宋体"/>
                <w:bCs/>
                <w:color w:val="auto"/>
                <w:highlight w:val="none"/>
              </w:rPr>
            </w:pPr>
            <w:r>
              <w:rPr>
                <w:rFonts w:hint="eastAsia" w:ascii="宋体" w:hAnsi="宋体"/>
                <w:bCs/>
                <w:color w:val="auto"/>
                <w:highlight w:val="none"/>
              </w:rPr>
              <w:t>能提供以下训练内容：社会交往与沟通、认知与感知、运动、生活自理、兴趣与行为、情绪管理和社会融合活动</w:t>
            </w:r>
          </w:p>
        </w:tc>
        <w:tc>
          <w:tcPr>
            <w:tcW w:w="2555" w:type="dxa"/>
            <w:vAlign w:val="center"/>
          </w:tcPr>
          <w:p w14:paraId="64D994E0">
            <w:pPr>
              <w:rPr>
                <w:rFonts w:ascii="宋体" w:hAnsi="宋体"/>
                <w:bCs/>
                <w:color w:val="auto"/>
                <w:highlight w:val="none"/>
              </w:rPr>
            </w:pPr>
            <w:r>
              <w:rPr>
                <w:rFonts w:hint="eastAsia" w:ascii="宋体" w:hAnsi="宋体"/>
                <w:bCs/>
                <w:color w:val="auto"/>
                <w:highlight w:val="none"/>
              </w:rPr>
              <w:t>至少提供6张以上不同训练情境的照片并匹配文字</w:t>
            </w:r>
          </w:p>
        </w:tc>
        <w:tc>
          <w:tcPr>
            <w:tcW w:w="1275" w:type="dxa"/>
            <w:vAlign w:val="center"/>
          </w:tcPr>
          <w:p w14:paraId="0A3132AA">
            <w:pPr>
              <w:rPr>
                <w:rFonts w:ascii="宋体" w:hAnsi="宋体"/>
                <w:color w:val="auto"/>
                <w:highlight w:val="none"/>
              </w:rPr>
            </w:pPr>
          </w:p>
        </w:tc>
      </w:tr>
      <w:tr w14:paraId="1A4AD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Merge w:val="continue"/>
            <w:vAlign w:val="center"/>
          </w:tcPr>
          <w:p w14:paraId="43FE4107">
            <w:pPr>
              <w:rPr>
                <w:rFonts w:ascii="宋体" w:hAnsi="宋体"/>
                <w:bCs/>
                <w:color w:val="auto"/>
                <w:highlight w:val="none"/>
              </w:rPr>
            </w:pPr>
          </w:p>
        </w:tc>
        <w:tc>
          <w:tcPr>
            <w:tcW w:w="3826" w:type="dxa"/>
            <w:vAlign w:val="center"/>
          </w:tcPr>
          <w:p w14:paraId="0C118901">
            <w:pPr>
              <w:rPr>
                <w:rFonts w:ascii="宋体" w:hAnsi="宋体"/>
                <w:bCs/>
                <w:color w:val="auto"/>
                <w:highlight w:val="none"/>
              </w:rPr>
            </w:pPr>
            <w:r>
              <w:rPr>
                <w:rFonts w:hint="eastAsia" w:ascii="宋体" w:hAnsi="宋体"/>
                <w:bCs/>
                <w:color w:val="auto"/>
                <w:highlight w:val="none"/>
              </w:rPr>
              <w:t>至少提供1份完整的基本康复训练档案，包括康复服务登记表、初始状态评估表、康复训练计划、康复训练记录或康复训练日志、阶段性评估表（至少每半年1次）、训练出勤表（缺一不可）</w:t>
            </w:r>
          </w:p>
        </w:tc>
        <w:tc>
          <w:tcPr>
            <w:tcW w:w="2555" w:type="dxa"/>
            <w:vAlign w:val="center"/>
          </w:tcPr>
          <w:p w14:paraId="17C1AE94">
            <w:pPr>
              <w:rPr>
                <w:rFonts w:ascii="宋体" w:hAnsi="宋体"/>
                <w:bCs/>
                <w:color w:val="auto"/>
                <w:highlight w:val="none"/>
              </w:rPr>
            </w:pPr>
            <w:r>
              <w:rPr>
                <w:rFonts w:hint="eastAsia" w:ascii="宋体" w:hAnsi="宋体"/>
                <w:bCs/>
                <w:color w:val="auto"/>
                <w:highlight w:val="none"/>
              </w:rPr>
              <w:t>至少提供1份完整的基本康复训练档案（六项内容缺一不可）</w:t>
            </w:r>
          </w:p>
        </w:tc>
        <w:tc>
          <w:tcPr>
            <w:tcW w:w="1275" w:type="dxa"/>
            <w:vAlign w:val="center"/>
          </w:tcPr>
          <w:p w14:paraId="7C53149E">
            <w:pPr>
              <w:rPr>
                <w:rFonts w:ascii="宋体" w:hAnsi="宋体"/>
                <w:color w:val="auto"/>
                <w:highlight w:val="none"/>
              </w:rPr>
            </w:pPr>
          </w:p>
        </w:tc>
      </w:tr>
      <w:tr w14:paraId="00D33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Align w:val="center"/>
          </w:tcPr>
          <w:p w14:paraId="44DC1875">
            <w:pPr>
              <w:rPr>
                <w:rFonts w:ascii="宋体" w:hAnsi="宋体"/>
                <w:bCs/>
                <w:color w:val="auto"/>
                <w:highlight w:val="none"/>
              </w:rPr>
            </w:pPr>
            <w:r>
              <w:rPr>
                <w:rFonts w:hint="eastAsia" w:ascii="宋体" w:hAnsi="宋体"/>
                <w:bCs/>
                <w:color w:val="auto"/>
                <w:highlight w:val="none"/>
              </w:rPr>
              <w:t>6.</w:t>
            </w:r>
            <w:r>
              <w:rPr>
                <w:rFonts w:ascii="宋体" w:hAnsi="宋体"/>
                <w:bCs/>
                <w:color w:val="auto"/>
                <w:highlight w:val="none"/>
              </w:rPr>
              <w:t xml:space="preserve"> </w:t>
            </w:r>
            <w:r>
              <w:rPr>
                <w:rFonts w:hint="eastAsia" w:ascii="宋体" w:hAnsi="宋体"/>
                <w:bCs/>
                <w:color w:val="auto"/>
                <w:highlight w:val="none"/>
              </w:rPr>
              <w:t>制度管理</w:t>
            </w:r>
          </w:p>
        </w:tc>
        <w:tc>
          <w:tcPr>
            <w:tcW w:w="3826" w:type="dxa"/>
            <w:vAlign w:val="center"/>
          </w:tcPr>
          <w:p w14:paraId="4AA30896">
            <w:pPr>
              <w:rPr>
                <w:rFonts w:ascii="宋体" w:hAnsi="宋体"/>
                <w:bCs/>
                <w:color w:val="auto"/>
                <w:highlight w:val="none"/>
              </w:rPr>
            </w:pPr>
            <w:r>
              <w:rPr>
                <w:rFonts w:hint="eastAsia" w:ascii="宋体" w:hAnsi="宋体"/>
                <w:bCs/>
                <w:color w:val="auto"/>
                <w:highlight w:val="none"/>
              </w:rPr>
              <w:t>具备岗位职责、业务管理、突发事件应急预案等内控制度，服务项目等信息向服务对象公示</w:t>
            </w:r>
          </w:p>
        </w:tc>
        <w:tc>
          <w:tcPr>
            <w:tcW w:w="2555" w:type="dxa"/>
            <w:vAlign w:val="center"/>
          </w:tcPr>
          <w:p w14:paraId="6B8D324A">
            <w:pPr>
              <w:rPr>
                <w:rFonts w:ascii="宋体" w:hAnsi="宋体"/>
                <w:bCs/>
                <w:color w:val="auto"/>
                <w:highlight w:val="none"/>
              </w:rPr>
            </w:pPr>
            <w:r>
              <w:rPr>
                <w:rFonts w:hint="eastAsia" w:ascii="宋体" w:hAnsi="宋体"/>
                <w:bCs/>
                <w:color w:val="auto"/>
                <w:highlight w:val="none"/>
              </w:rPr>
              <w:t>提供照片、文字资料</w:t>
            </w:r>
          </w:p>
        </w:tc>
        <w:tc>
          <w:tcPr>
            <w:tcW w:w="1275" w:type="dxa"/>
            <w:vAlign w:val="center"/>
          </w:tcPr>
          <w:p w14:paraId="22CF2BE2">
            <w:pPr>
              <w:rPr>
                <w:rFonts w:ascii="宋体" w:hAnsi="宋体"/>
                <w:color w:val="auto"/>
                <w:highlight w:val="none"/>
              </w:rPr>
            </w:pPr>
          </w:p>
        </w:tc>
      </w:tr>
      <w:tr w14:paraId="27880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526" w:type="dxa"/>
            <w:vAlign w:val="center"/>
          </w:tcPr>
          <w:p w14:paraId="432ED617">
            <w:pPr>
              <w:rPr>
                <w:rFonts w:ascii="宋体" w:hAnsi="宋体"/>
                <w:bCs/>
                <w:color w:val="auto"/>
                <w:highlight w:val="none"/>
              </w:rPr>
            </w:pPr>
            <w:r>
              <w:rPr>
                <w:rFonts w:hint="eastAsia" w:ascii="宋体" w:hAnsi="宋体"/>
                <w:bCs/>
                <w:color w:val="auto"/>
                <w:highlight w:val="none"/>
              </w:rPr>
              <w:t>7. 服务计费</w:t>
            </w:r>
          </w:p>
        </w:tc>
        <w:tc>
          <w:tcPr>
            <w:tcW w:w="3826" w:type="dxa"/>
            <w:vAlign w:val="center"/>
          </w:tcPr>
          <w:p w14:paraId="76D807A5">
            <w:pPr>
              <w:rPr>
                <w:rFonts w:ascii="宋体" w:hAnsi="宋体"/>
                <w:bCs/>
                <w:color w:val="auto"/>
                <w:highlight w:val="none"/>
              </w:rPr>
            </w:pPr>
            <w:r>
              <w:rPr>
                <w:rFonts w:hint="eastAsia" w:ascii="宋体" w:hAnsi="宋体"/>
                <w:bCs/>
                <w:color w:val="auto"/>
                <w:highlight w:val="none"/>
              </w:rPr>
              <w:t>按医疗机构康复服务项目标准提供服务</w:t>
            </w:r>
          </w:p>
        </w:tc>
        <w:tc>
          <w:tcPr>
            <w:tcW w:w="2555" w:type="dxa"/>
            <w:vAlign w:val="center"/>
          </w:tcPr>
          <w:p w14:paraId="58AA41B2">
            <w:pPr>
              <w:rPr>
                <w:rFonts w:ascii="宋体" w:hAnsi="宋体"/>
                <w:bCs/>
                <w:color w:val="auto"/>
                <w:highlight w:val="none"/>
              </w:rPr>
            </w:pPr>
            <w:r>
              <w:rPr>
                <w:rFonts w:hint="eastAsia" w:ascii="宋体" w:hAnsi="宋体"/>
                <w:bCs/>
                <w:color w:val="auto"/>
                <w:highlight w:val="none"/>
              </w:rPr>
              <w:t>提供智力康复项目收费价目表一份，并作为经费结算依据，并作为经费结算依据（格式见附件3）</w:t>
            </w:r>
          </w:p>
        </w:tc>
        <w:tc>
          <w:tcPr>
            <w:tcW w:w="1275" w:type="dxa"/>
            <w:vAlign w:val="center"/>
          </w:tcPr>
          <w:p w14:paraId="16A73424">
            <w:pPr>
              <w:rPr>
                <w:rFonts w:ascii="宋体" w:hAnsi="宋体"/>
                <w:color w:val="auto"/>
                <w:highlight w:val="none"/>
              </w:rPr>
            </w:pPr>
          </w:p>
        </w:tc>
      </w:tr>
      <w:tr w14:paraId="3F869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1526" w:type="dxa"/>
            <w:vAlign w:val="center"/>
          </w:tcPr>
          <w:p w14:paraId="27947DE3">
            <w:pPr>
              <w:rPr>
                <w:rFonts w:ascii="宋体" w:hAnsi="宋体"/>
                <w:bCs/>
                <w:color w:val="auto"/>
                <w:highlight w:val="none"/>
              </w:rPr>
            </w:pPr>
            <w:r>
              <w:rPr>
                <w:rFonts w:hint="eastAsia" w:ascii="宋体" w:hAnsi="宋体"/>
                <w:bCs/>
                <w:color w:val="auto"/>
                <w:highlight w:val="none"/>
              </w:rPr>
              <w:t>8</w:t>
            </w:r>
            <w:r>
              <w:rPr>
                <w:rFonts w:ascii="宋体" w:hAnsi="宋体"/>
                <w:bCs/>
                <w:color w:val="auto"/>
                <w:highlight w:val="none"/>
              </w:rPr>
              <w:t>.</w:t>
            </w:r>
            <w:r>
              <w:rPr>
                <w:rFonts w:hint="eastAsia" w:ascii="宋体" w:hAnsi="宋体"/>
                <w:bCs/>
                <w:color w:val="auto"/>
                <w:highlight w:val="none"/>
              </w:rPr>
              <w:t>实施方案</w:t>
            </w:r>
          </w:p>
        </w:tc>
        <w:tc>
          <w:tcPr>
            <w:tcW w:w="6381" w:type="dxa"/>
            <w:gridSpan w:val="2"/>
            <w:vAlign w:val="center"/>
          </w:tcPr>
          <w:p w14:paraId="06AE4223">
            <w:pPr>
              <w:rPr>
                <w:rFonts w:ascii="宋体" w:hAnsi="宋体"/>
                <w:bCs/>
                <w:color w:val="auto"/>
                <w:highlight w:val="none"/>
              </w:rPr>
            </w:pPr>
            <w:r>
              <w:rPr>
                <w:rFonts w:hint="eastAsia" w:ascii="宋体" w:hAnsi="宋体"/>
                <w:bCs/>
                <w:color w:val="auto"/>
                <w:highlight w:val="none"/>
              </w:rPr>
              <w:t>提供智力残疾儿童基本康复训练服务的具体实施方案一份</w:t>
            </w:r>
          </w:p>
        </w:tc>
        <w:tc>
          <w:tcPr>
            <w:tcW w:w="1275" w:type="dxa"/>
            <w:vAlign w:val="center"/>
          </w:tcPr>
          <w:p w14:paraId="662BF5EE">
            <w:pPr>
              <w:rPr>
                <w:rFonts w:ascii="宋体" w:hAnsi="宋体"/>
                <w:color w:val="auto"/>
                <w:highlight w:val="none"/>
              </w:rPr>
            </w:pPr>
          </w:p>
        </w:tc>
      </w:tr>
    </w:tbl>
    <w:p w14:paraId="2901F222">
      <w:pPr>
        <w:rPr>
          <w:b/>
          <w:bCs/>
          <w:color w:val="auto"/>
          <w:sz w:val="24"/>
          <w:szCs w:val="24"/>
          <w:highlight w:val="none"/>
        </w:rPr>
      </w:pPr>
      <w:r>
        <w:rPr>
          <w:rFonts w:hint="eastAsia"/>
          <w:b/>
          <w:bCs/>
          <w:color w:val="auto"/>
          <w:sz w:val="24"/>
          <w:szCs w:val="24"/>
          <w:highlight w:val="none"/>
        </w:rPr>
        <w:t>法定代表人或法定代表人授权代表签字或盖章：</w:t>
      </w:r>
    </w:p>
    <w:p w14:paraId="71D6897C">
      <w:pPr>
        <w:rPr>
          <w:color w:val="auto"/>
          <w:sz w:val="24"/>
          <w:szCs w:val="24"/>
          <w:highlight w:val="none"/>
        </w:rPr>
      </w:pPr>
      <w:r>
        <w:rPr>
          <w:rFonts w:hint="eastAsia"/>
          <w:color w:val="auto"/>
          <w:sz w:val="24"/>
          <w:szCs w:val="24"/>
          <w:highlight w:val="none"/>
        </w:rPr>
        <w:t>注：</w:t>
      </w:r>
      <w:r>
        <w:rPr>
          <w:rFonts w:hint="eastAsia"/>
          <w:b/>
          <w:color w:val="auto"/>
          <w:sz w:val="24"/>
          <w:szCs w:val="24"/>
          <w:highlight w:val="none"/>
        </w:rPr>
        <w:t>①采购包四所需的场地、设备、人员可与采购包五共用。</w:t>
      </w:r>
      <w:r>
        <w:rPr>
          <w:rFonts w:hint="eastAsia"/>
          <w:color w:val="auto"/>
          <w:sz w:val="24"/>
          <w:szCs w:val="24"/>
          <w:highlight w:val="none"/>
        </w:rPr>
        <w:t>②其余资料可自行添加至此表，</w:t>
      </w:r>
      <w:r>
        <w:rPr>
          <w:color w:val="auto"/>
          <w:sz w:val="24"/>
          <w:szCs w:val="24"/>
          <w:highlight w:val="none"/>
        </w:rPr>
        <w:t>证明材料附在本表后</w:t>
      </w:r>
      <w:r>
        <w:rPr>
          <w:rFonts w:hint="eastAsia"/>
          <w:color w:val="auto"/>
          <w:sz w:val="24"/>
          <w:szCs w:val="24"/>
          <w:highlight w:val="none"/>
        </w:rPr>
        <w:t>。</w:t>
      </w:r>
    </w:p>
    <w:bookmarkEnd w:id="321"/>
    <w:bookmarkEnd w:id="322"/>
    <w:p w14:paraId="4AB2DAEB">
      <w:pPr>
        <w:rPr>
          <w:color w:val="auto"/>
          <w:sz w:val="24"/>
          <w:szCs w:val="24"/>
          <w:highlight w:val="none"/>
        </w:rPr>
      </w:pPr>
    </w:p>
    <w:p w14:paraId="05E43427">
      <w:pPr>
        <w:spacing w:line="360" w:lineRule="auto"/>
        <w:rPr>
          <w:b/>
          <w:color w:val="auto"/>
          <w:sz w:val="28"/>
          <w:szCs w:val="28"/>
          <w:highlight w:val="none"/>
        </w:rPr>
      </w:pPr>
    </w:p>
    <w:p w14:paraId="6C083F6C">
      <w:pPr>
        <w:jc w:val="center"/>
        <w:rPr>
          <w:rFonts w:ascii="仿宋" w:hAnsi="仿宋" w:eastAsia="仿宋" w:cs="宋体"/>
          <w:b/>
          <w:color w:val="auto"/>
          <w:sz w:val="32"/>
          <w:szCs w:val="32"/>
          <w:highlight w:val="none"/>
        </w:rPr>
      </w:pPr>
      <w:r>
        <w:rPr>
          <w:rFonts w:hint="eastAsia" w:ascii="仿宋" w:hAnsi="仿宋" w:eastAsia="仿宋" w:cs="宋体"/>
          <w:b/>
          <w:color w:val="auto"/>
          <w:sz w:val="32"/>
          <w:szCs w:val="32"/>
          <w:highlight w:val="none"/>
        </w:rPr>
        <w:t>（采购包五）孤独症儿童基本康复训练服务</w:t>
      </w:r>
    </w:p>
    <w:p w14:paraId="1375F511">
      <w:pPr>
        <w:rPr>
          <w:rFonts w:ascii="仿宋" w:hAnsi="仿宋" w:eastAsia="仿宋" w:cs="宋体"/>
          <w:b/>
          <w:color w:val="auto"/>
          <w:sz w:val="32"/>
          <w:szCs w:val="32"/>
          <w:highlight w:val="none"/>
        </w:rPr>
      </w:pPr>
      <w:r>
        <w:rPr>
          <w:rFonts w:hint="eastAsia" w:ascii="黑体" w:eastAsia="黑体"/>
          <w:bCs/>
          <w:color w:val="auto"/>
          <w:sz w:val="24"/>
          <w:szCs w:val="24"/>
          <w:highlight w:val="none"/>
        </w:rPr>
        <w:t xml:space="preserve">申请人名称（盖章）                 </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ascii="黑体" w:eastAsia="黑体"/>
          <w:bCs/>
          <w:color w:val="auto"/>
          <w:sz w:val="24"/>
          <w:szCs w:val="24"/>
          <w:highlight w:val="none"/>
        </w:rPr>
        <w:t xml:space="preserve"> </w:t>
      </w:r>
    </w:p>
    <w:tbl>
      <w:tblPr>
        <w:tblStyle w:val="48"/>
        <w:tblW w:w="91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4253"/>
        <w:gridCol w:w="2270"/>
        <w:gridCol w:w="1275"/>
      </w:tblGrid>
      <w:tr w14:paraId="395FA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384" w:type="dxa"/>
            <w:vAlign w:val="center"/>
          </w:tcPr>
          <w:p w14:paraId="2F475722">
            <w:pPr>
              <w:rPr>
                <w:rFonts w:ascii="宋体" w:hAnsi="宋体"/>
                <w:color w:val="auto"/>
                <w:highlight w:val="none"/>
              </w:rPr>
            </w:pPr>
            <w:r>
              <w:rPr>
                <w:rFonts w:ascii="宋体" w:hAnsi="宋体"/>
                <w:color w:val="auto"/>
                <w:highlight w:val="none"/>
              </w:rPr>
              <w:t>采购</w:t>
            </w:r>
            <w:r>
              <w:rPr>
                <w:rFonts w:hint="eastAsia" w:ascii="宋体" w:hAnsi="宋体"/>
                <w:color w:val="auto"/>
                <w:highlight w:val="none"/>
              </w:rPr>
              <w:t>需求</w:t>
            </w:r>
          </w:p>
        </w:tc>
        <w:tc>
          <w:tcPr>
            <w:tcW w:w="4253" w:type="dxa"/>
            <w:vAlign w:val="center"/>
          </w:tcPr>
          <w:p w14:paraId="5EE6718A">
            <w:pPr>
              <w:rPr>
                <w:rFonts w:ascii="宋体" w:hAnsi="宋体"/>
                <w:color w:val="auto"/>
                <w:highlight w:val="none"/>
              </w:rPr>
            </w:pPr>
            <w:r>
              <w:rPr>
                <w:rFonts w:hint="eastAsia" w:ascii="宋体" w:hAnsi="宋体"/>
                <w:color w:val="auto"/>
                <w:highlight w:val="none"/>
              </w:rPr>
              <w:t>详细要求</w:t>
            </w:r>
          </w:p>
        </w:tc>
        <w:tc>
          <w:tcPr>
            <w:tcW w:w="2270" w:type="dxa"/>
            <w:vAlign w:val="center"/>
          </w:tcPr>
          <w:p w14:paraId="499EB232">
            <w:pPr>
              <w:rPr>
                <w:rFonts w:ascii="宋体" w:hAnsi="宋体"/>
                <w:color w:val="auto"/>
                <w:highlight w:val="none"/>
              </w:rPr>
            </w:pPr>
            <w:r>
              <w:rPr>
                <w:rFonts w:hint="eastAsia" w:ascii="宋体" w:hAnsi="宋体"/>
                <w:color w:val="auto"/>
                <w:highlight w:val="none"/>
              </w:rPr>
              <w:t>证明材料</w:t>
            </w:r>
          </w:p>
        </w:tc>
        <w:tc>
          <w:tcPr>
            <w:tcW w:w="1275" w:type="dxa"/>
            <w:vAlign w:val="center"/>
          </w:tcPr>
          <w:p w14:paraId="6826F3B1">
            <w:pPr>
              <w:rPr>
                <w:rFonts w:ascii="宋体" w:hAnsi="宋体"/>
                <w:color w:val="auto"/>
                <w:highlight w:val="none"/>
              </w:rPr>
            </w:pPr>
            <w:r>
              <w:rPr>
                <w:rFonts w:hint="eastAsia" w:ascii="宋体" w:hAnsi="宋体"/>
                <w:color w:val="auto"/>
                <w:highlight w:val="none"/>
              </w:rPr>
              <w:t>证明材料（有/无）</w:t>
            </w:r>
          </w:p>
        </w:tc>
      </w:tr>
      <w:tr w14:paraId="0B4CA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384" w:type="dxa"/>
            <w:vMerge w:val="restart"/>
            <w:vAlign w:val="center"/>
          </w:tcPr>
          <w:p w14:paraId="2625DB8B">
            <w:pPr>
              <w:rPr>
                <w:rFonts w:ascii="宋体" w:hAnsi="宋体"/>
                <w:color w:val="auto"/>
                <w:highlight w:val="none"/>
              </w:rPr>
            </w:pPr>
            <w:r>
              <w:rPr>
                <w:rFonts w:hint="eastAsia" w:ascii="宋体" w:hAnsi="宋体"/>
                <w:color w:val="auto"/>
                <w:highlight w:val="none"/>
              </w:rPr>
              <w:t>1</w:t>
            </w:r>
            <w:r>
              <w:rPr>
                <w:rFonts w:ascii="宋体" w:hAnsi="宋体"/>
                <w:color w:val="auto"/>
                <w:highlight w:val="none"/>
              </w:rPr>
              <w:t>.</w:t>
            </w:r>
            <w:r>
              <w:rPr>
                <w:rFonts w:hint="eastAsia" w:ascii="宋体" w:hAnsi="宋体"/>
                <w:color w:val="auto"/>
                <w:highlight w:val="none"/>
              </w:rPr>
              <w:t>建设要求</w:t>
            </w:r>
          </w:p>
        </w:tc>
        <w:tc>
          <w:tcPr>
            <w:tcW w:w="4253" w:type="dxa"/>
            <w:vAlign w:val="center"/>
          </w:tcPr>
          <w:p w14:paraId="156436E5">
            <w:pPr>
              <w:rPr>
                <w:rFonts w:ascii="宋体" w:hAnsi="宋体"/>
                <w:color w:val="auto"/>
                <w:highlight w:val="none"/>
              </w:rPr>
            </w:pPr>
            <w:r>
              <w:rPr>
                <w:rFonts w:hint="eastAsia" w:ascii="宋体" w:hAnsi="宋体"/>
                <w:color w:val="auto"/>
                <w:highlight w:val="none"/>
              </w:rPr>
              <w:t>本地</w:t>
            </w:r>
            <w:r>
              <w:rPr>
                <w:rFonts w:ascii="宋体" w:hAnsi="宋体"/>
                <w:color w:val="auto"/>
                <w:highlight w:val="none"/>
              </w:rPr>
              <w:t>训练场所</w:t>
            </w:r>
            <w:r>
              <w:rPr>
                <w:rFonts w:hint="eastAsia" w:ascii="宋体" w:hAnsi="宋体"/>
                <w:color w:val="auto"/>
                <w:highlight w:val="none"/>
              </w:rPr>
              <w:t>建筑总面积不少于700平方米</w:t>
            </w:r>
          </w:p>
        </w:tc>
        <w:tc>
          <w:tcPr>
            <w:tcW w:w="2270" w:type="dxa"/>
            <w:vMerge w:val="restart"/>
            <w:vAlign w:val="center"/>
          </w:tcPr>
          <w:p w14:paraId="409AA909">
            <w:pPr>
              <w:rPr>
                <w:rFonts w:ascii="宋体" w:hAnsi="宋体"/>
                <w:color w:val="auto"/>
                <w:highlight w:val="none"/>
              </w:rPr>
            </w:pPr>
            <w:r>
              <w:rPr>
                <w:rFonts w:hint="eastAsia" w:ascii="宋体" w:hAnsi="宋体"/>
                <w:color w:val="auto"/>
                <w:highlight w:val="none"/>
              </w:rPr>
              <w:t>提供房产证或租赁协议，若为租赁协议另需提供房主房产证或其他有效的产权证明，外部环境和内部场所照片及介绍文字</w:t>
            </w:r>
          </w:p>
        </w:tc>
        <w:tc>
          <w:tcPr>
            <w:tcW w:w="1275" w:type="dxa"/>
            <w:vAlign w:val="center"/>
          </w:tcPr>
          <w:p w14:paraId="0853A0CE">
            <w:pPr>
              <w:rPr>
                <w:rFonts w:ascii="宋体" w:hAnsi="宋体"/>
                <w:color w:val="auto"/>
                <w:highlight w:val="none"/>
              </w:rPr>
            </w:pPr>
          </w:p>
        </w:tc>
      </w:tr>
      <w:tr w14:paraId="03899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384" w:type="dxa"/>
            <w:vMerge w:val="continue"/>
            <w:vAlign w:val="center"/>
          </w:tcPr>
          <w:p w14:paraId="178FA22E">
            <w:pPr>
              <w:rPr>
                <w:rFonts w:ascii="宋体" w:hAnsi="宋体"/>
                <w:color w:val="auto"/>
                <w:highlight w:val="none"/>
              </w:rPr>
            </w:pPr>
          </w:p>
        </w:tc>
        <w:tc>
          <w:tcPr>
            <w:tcW w:w="4253" w:type="dxa"/>
            <w:vAlign w:val="center"/>
          </w:tcPr>
          <w:p w14:paraId="7C4D6BAA">
            <w:pPr>
              <w:rPr>
                <w:rFonts w:ascii="宋体" w:hAnsi="宋体"/>
                <w:color w:val="auto"/>
                <w:highlight w:val="none"/>
              </w:rPr>
            </w:pPr>
            <w:r>
              <w:rPr>
                <w:rFonts w:hint="eastAsia" w:ascii="宋体" w:hAnsi="宋体"/>
                <w:color w:val="auto"/>
                <w:highlight w:val="none"/>
              </w:rPr>
              <w:t>业务用房不少于500平方米</w:t>
            </w:r>
          </w:p>
        </w:tc>
        <w:tc>
          <w:tcPr>
            <w:tcW w:w="2270" w:type="dxa"/>
            <w:vMerge w:val="continue"/>
            <w:vAlign w:val="center"/>
          </w:tcPr>
          <w:p w14:paraId="4128585C">
            <w:pPr>
              <w:rPr>
                <w:rFonts w:ascii="宋体" w:hAnsi="宋体"/>
                <w:color w:val="auto"/>
                <w:highlight w:val="none"/>
              </w:rPr>
            </w:pPr>
          </w:p>
        </w:tc>
        <w:tc>
          <w:tcPr>
            <w:tcW w:w="1275" w:type="dxa"/>
            <w:vAlign w:val="center"/>
          </w:tcPr>
          <w:p w14:paraId="43D2A826">
            <w:pPr>
              <w:rPr>
                <w:rFonts w:ascii="宋体" w:hAnsi="宋体"/>
                <w:color w:val="auto"/>
                <w:highlight w:val="none"/>
              </w:rPr>
            </w:pPr>
          </w:p>
        </w:tc>
      </w:tr>
      <w:tr w14:paraId="294A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trPr>
        <w:tc>
          <w:tcPr>
            <w:tcW w:w="1384" w:type="dxa"/>
            <w:vMerge w:val="continue"/>
            <w:vAlign w:val="center"/>
          </w:tcPr>
          <w:p w14:paraId="501D10AC">
            <w:pPr>
              <w:rPr>
                <w:rFonts w:ascii="宋体" w:hAnsi="宋体"/>
                <w:color w:val="auto"/>
                <w:highlight w:val="none"/>
              </w:rPr>
            </w:pPr>
          </w:p>
        </w:tc>
        <w:tc>
          <w:tcPr>
            <w:tcW w:w="4253" w:type="dxa"/>
            <w:vAlign w:val="center"/>
          </w:tcPr>
          <w:p w14:paraId="06157ECA">
            <w:pPr>
              <w:rPr>
                <w:rFonts w:ascii="宋体" w:hAnsi="宋体"/>
                <w:color w:val="auto"/>
                <w:highlight w:val="none"/>
              </w:rPr>
            </w:pPr>
            <w:r>
              <w:rPr>
                <w:rFonts w:hint="eastAsia" w:ascii="宋体" w:hAnsi="宋体"/>
                <w:color w:val="auto"/>
                <w:highlight w:val="none"/>
              </w:rPr>
              <w:t>本地训练场所应在三层及以下的非地下室，符合国家无障碍通行要求</w:t>
            </w:r>
          </w:p>
        </w:tc>
        <w:tc>
          <w:tcPr>
            <w:tcW w:w="2270" w:type="dxa"/>
            <w:vMerge w:val="continue"/>
            <w:vAlign w:val="center"/>
          </w:tcPr>
          <w:p w14:paraId="01ADB8DE">
            <w:pPr>
              <w:rPr>
                <w:rFonts w:ascii="宋体" w:hAnsi="宋体"/>
                <w:color w:val="auto"/>
                <w:highlight w:val="none"/>
              </w:rPr>
            </w:pPr>
          </w:p>
        </w:tc>
        <w:tc>
          <w:tcPr>
            <w:tcW w:w="1275" w:type="dxa"/>
            <w:vAlign w:val="center"/>
          </w:tcPr>
          <w:p w14:paraId="0099D9F2">
            <w:pPr>
              <w:rPr>
                <w:rFonts w:ascii="宋体" w:hAnsi="宋体"/>
                <w:color w:val="auto"/>
                <w:highlight w:val="none"/>
              </w:rPr>
            </w:pPr>
          </w:p>
        </w:tc>
      </w:tr>
      <w:tr w14:paraId="616EA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384" w:type="dxa"/>
            <w:vMerge w:val="restart"/>
            <w:vAlign w:val="center"/>
          </w:tcPr>
          <w:p w14:paraId="3328DCAD">
            <w:pPr>
              <w:rPr>
                <w:rFonts w:ascii="宋体" w:hAnsi="宋体"/>
                <w:color w:val="auto"/>
                <w:highlight w:val="none"/>
              </w:rPr>
            </w:pPr>
            <w:r>
              <w:rPr>
                <w:rFonts w:hint="eastAsia" w:ascii="宋体" w:hAnsi="宋体"/>
                <w:color w:val="auto"/>
                <w:highlight w:val="none"/>
              </w:rPr>
              <w:t>2</w:t>
            </w:r>
            <w:r>
              <w:rPr>
                <w:rFonts w:ascii="宋体" w:hAnsi="宋体"/>
                <w:color w:val="auto"/>
                <w:highlight w:val="none"/>
              </w:rPr>
              <w:t>.</w:t>
            </w:r>
            <w:r>
              <w:rPr>
                <w:rFonts w:hint="eastAsia" w:ascii="宋体" w:hAnsi="宋体"/>
                <w:color w:val="auto"/>
                <w:highlight w:val="none"/>
              </w:rPr>
              <w:t>训练场地</w:t>
            </w:r>
          </w:p>
        </w:tc>
        <w:tc>
          <w:tcPr>
            <w:tcW w:w="4253" w:type="dxa"/>
            <w:vAlign w:val="center"/>
          </w:tcPr>
          <w:p w14:paraId="41A6959D">
            <w:pPr>
              <w:rPr>
                <w:rFonts w:ascii="宋体" w:hAnsi="宋体"/>
                <w:color w:val="auto"/>
                <w:highlight w:val="none"/>
              </w:rPr>
            </w:pPr>
            <w:bookmarkStart w:id="325" w:name="OLE_LINK173"/>
            <w:bookmarkStart w:id="326" w:name="OLE_LINK172"/>
            <w:r>
              <w:rPr>
                <w:rFonts w:hint="eastAsia" w:ascii="宋体" w:hAnsi="宋体"/>
                <w:color w:val="auto"/>
                <w:highlight w:val="none"/>
              </w:rPr>
              <w:t>设置至少1间咨询接</w:t>
            </w:r>
            <w:bookmarkEnd w:id="325"/>
            <w:bookmarkEnd w:id="326"/>
            <w:r>
              <w:rPr>
                <w:rFonts w:hint="eastAsia" w:ascii="宋体" w:hAnsi="宋体"/>
                <w:color w:val="auto"/>
                <w:highlight w:val="none"/>
              </w:rPr>
              <w:t>待(评估)室（不少于15平方米）</w:t>
            </w:r>
          </w:p>
        </w:tc>
        <w:tc>
          <w:tcPr>
            <w:tcW w:w="2270" w:type="dxa"/>
            <w:vMerge w:val="restart"/>
            <w:vAlign w:val="center"/>
          </w:tcPr>
          <w:p w14:paraId="2EC68DCA">
            <w:pPr>
              <w:rPr>
                <w:rFonts w:ascii="宋体" w:hAnsi="宋体"/>
                <w:color w:val="auto"/>
                <w:highlight w:val="none"/>
              </w:rPr>
            </w:pPr>
            <w:r>
              <w:rPr>
                <w:rFonts w:hint="eastAsia" w:ascii="宋体" w:hAnsi="宋体"/>
                <w:color w:val="auto"/>
                <w:highlight w:val="none"/>
              </w:rPr>
              <w:t>提供场所平面图并标注出各种功能室，提供各功能室照片</w:t>
            </w:r>
          </w:p>
        </w:tc>
        <w:tc>
          <w:tcPr>
            <w:tcW w:w="1275" w:type="dxa"/>
            <w:vAlign w:val="center"/>
          </w:tcPr>
          <w:p w14:paraId="123A4B7D">
            <w:pPr>
              <w:rPr>
                <w:rFonts w:ascii="宋体" w:hAnsi="宋体"/>
                <w:color w:val="auto"/>
                <w:highlight w:val="none"/>
              </w:rPr>
            </w:pPr>
          </w:p>
        </w:tc>
      </w:tr>
      <w:tr w14:paraId="610C3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384" w:type="dxa"/>
            <w:vMerge w:val="continue"/>
            <w:vAlign w:val="center"/>
          </w:tcPr>
          <w:p w14:paraId="6D8A9536">
            <w:pPr>
              <w:rPr>
                <w:rFonts w:ascii="宋体" w:hAnsi="宋体"/>
                <w:color w:val="auto"/>
                <w:highlight w:val="none"/>
              </w:rPr>
            </w:pPr>
          </w:p>
        </w:tc>
        <w:tc>
          <w:tcPr>
            <w:tcW w:w="4253" w:type="dxa"/>
            <w:vAlign w:val="center"/>
          </w:tcPr>
          <w:p w14:paraId="788B3A3D">
            <w:pPr>
              <w:rPr>
                <w:rFonts w:ascii="宋体" w:hAnsi="宋体"/>
                <w:color w:val="auto"/>
                <w:highlight w:val="none"/>
              </w:rPr>
            </w:pPr>
            <w:r>
              <w:rPr>
                <w:rFonts w:hint="eastAsia" w:ascii="宋体" w:hAnsi="宋体"/>
                <w:color w:val="auto"/>
                <w:highlight w:val="none"/>
              </w:rPr>
              <w:t>设置至少1间集体（组别）教室，内设游戏活动区，每间不少于30平方米</w:t>
            </w:r>
          </w:p>
        </w:tc>
        <w:tc>
          <w:tcPr>
            <w:tcW w:w="2270" w:type="dxa"/>
            <w:vMerge w:val="continue"/>
            <w:vAlign w:val="center"/>
          </w:tcPr>
          <w:p w14:paraId="10463F82">
            <w:pPr>
              <w:rPr>
                <w:rFonts w:ascii="宋体" w:hAnsi="宋体"/>
                <w:color w:val="auto"/>
                <w:highlight w:val="none"/>
              </w:rPr>
            </w:pPr>
          </w:p>
        </w:tc>
        <w:tc>
          <w:tcPr>
            <w:tcW w:w="1275" w:type="dxa"/>
            <w:vAlign w:val="center"/>
          </w:tcPr>
          <w:p w14:paraId="71FF0FC0">
            <w:pPr>
              <w:rPr>
                <w:rFonts w:ascii="宋体" w:hAnsi="宋体"/>
                <w:color w:val="auto"/>
                <w:highlight w:val="none"/>
              </w:rPr>
            </w:pPr>
          </w:p>
        </w:tc>
      </w:tr>
      <w:tr w14:paraId="2E867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384" w:type="dxa"/>
            <w:vMerge w:val="continue"/>
            <w:vAlign w:val="center"/>
          </w:tcPr>
          <w:p w14:paraId="2D50960C">
            <w:pPr>
              <w:rPr>
                <w:rFonts w:ascii="宋体" w:hAnsi="宋体"/>
                <w:color w:val="auto"/>
                <w:highlight w:val="none"/>
              </w:rPr>
            </w:pPr>
          </w:p>
        </w:tc>
        <w:tc>
          <w:tcPr>
            <w:tcW w:w="4253" w:type="dxa"/>
            <w:vAlign w:val="center"/>
          </w:tcPr>
          <w:p w14:paraId="07990ED9">
            <w:pPr>
              <w:rPr>
                <w:rFonts w:ascii="宋体" w:hAnsi="宋体"/>
                <w:color w:val="auto"/>
                <w:highlight w:val="none"/>
              </w:rPr>
            </w:pPr>
            <w:r>
              <w:rPr>
                <w:rFonts w:hint="eastAsia" w:ascii="宋体" w:hAnsi="宋体"/>
                <w:color w:val="auto"/>
                <w:highlight w:val="none"/>
              </w:rPr>
              <w:t>设置至少1间运动/感统训练室 ，每间不少于50平方米</w:t>
            </w:r>
          </w:p>
        </w:tc>
        <w:tc>
          <w:tcPr>
            <w:tcW w:w="2270" w:type="dxa"/>
            <w:vMerge w:val="continue"/>
            <w:vAlign w:val="center"/>
          </w:tcPr>
          <w:p w14:paraId="15DB4F0F">
            <w:pPr>
              <w:rPr>
                <w:rFonts w:ascii="宋体" w:hAnsi="宋体"/>
                <w:color w:val="auto"/>
                <w:highlight w:val="none"/>
              </w:rPr>
            </w:pPr>
          </w:p>
        </w:tc>
        <w:tc>
          <w:tcPr>
            <w:tcW w:w="1275" w:type="dxa"/>
            <w:vAlign w:val="center"/>
          </w:tcPr>
          <w:p w14:paraId="1974BD15">
            <w:pPr>
              <w:rPr>
                <w:rFonts w:ascii="宋体" w:hAnsi="宋体"/>
                <w:color w:val="auto"/>
                <w:highlight w:val="none"/>
              </w:rPr>
            </w:pPr>
          </w:p>
        </w:tc>
      </w:tr>
      <w:tr w14:paraId="7D7B2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1384" w:type="dxa"/>
            <w:vMerge w:val="continue"/>
            <w:vAlign w:val="center"/>
          </w:tcPr>
          <w:p w14:paraId="78BB9D2B">
            <w:pPr>
              <w:rPr>
                <w:rFonts w:ascii="宋体" w:hAnsi="宋体"/>
                <w:color w:val="auto"/>
                <w:highlight w:val="none"/>
              </w:rPr>
            </w:pPr>
          </w:p>
        </w:tc>
        <w:tc>
          <w:tcPr>
            <w:tcW w:w="4253" w:type="dxa"/>
            <w:vAlign w:val="center"/>
          </w:tcPr>
          <w:p w14:paraId="50896FE2">
            <w:pPr>
              <w:rPr>
                <w:rFonts w:ascii="宋体" w:hAnsi="宋体"/>
                <w:color w:val="auto"/>
                <w:highlight w:val="none"/>
              </w:rPr>
            </w:pPr>
            <w:r>
              <w:rPr>
                <w:rFonts w:hint="eastAsia" w:ascii="宋体" w:hAnsi="宋体"/>
                <w:color w:val="auto"/>
                <w:highlight w:val="none"/>
              </w:rPr>
              <w:t>设置至少4间个性化训练教室，每间不少于8平方米</w:t>
            </w:r>
          </w:p>
        </w:tc>
        <w:tc>
          <w:tcPr>
            <w:tcW w:w="2270" w:type="dxa"/>
            <w:vMerge w:val="continue"/>
            <w:vAlign w:val="center"/>
          </w:tcPr>
          <w:p w14:paraId="43961548">
            <w:pPr>
              <w:rPr>
                <w:rFonts w:ascii="宋体" w:hAnsi="宋体"/>
                <w:color w:val="auto"/>
                <w:highlight w:val="none"/>
              </w:rPr>
            </w:pPr>
          </w:p>
        </w:tc>
        <w:tc>
          <w:tcPr>
            <w:tcW w:w="1275" w:type="dxa"/>
            <w:vAlign w:val="center"/>
          </w:tcPr>
          <w:p w14:paraId="6FBB3F60">
            <w:pPr>
              <w:rPr>
                <w:rFonts w:ascii="宋体" w:hAnsi="宋体"/>
                <w:color w:val="auto"/>
                <w:highlight w:val="none"/>
              </w:rPr>
            </w:pPr>
          </w:p>
        </w:tc>
      </w:tr>
      <w:tr w14:paraId="32C63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continue"/>
            <w:vAlign w:val="center"/>
          </w:tcPr>
          <w:p w14:paraId="786DF65C">
            <w:pPr>
              <w:rPr>
                <w:rFonts w:ascii="宋体" w:hAnsi="宋体"/>
                <w:color w:val="auto"/>
                <w:highlight w:val="none"/>
              </w:rPr>
            </w:pPr>
          </w:p>
        </w:tc>
        <w:tc>
          <w:tcPr>
            <w:tcW w:w="4253" w:type="dxa"/>
            <w:vAlign w:val="center"/>
          </w:tcPr>
          <w:p w14:paraId="2D912D52">
            <w:pPr>
              <w:rPr>
                <w:rFonts w:ascii="宋体" w:hAnsi="宋体"/>
                <w:color w:val="auto"/>
                <w:highlight w:val="none"/>
              </w:rPr>
            </w:pPr>
            <w:r>
              <w:rPr>
                <w:rFonts w:hint="eastAsia" w:ascii="宋体" w:hAnsi="宋体"/>
                <w:color w:val="auto"/>
                <w:highlight w:val="none"/>
              </w:rPr>
              <w:t>设置生活自理能力训练区，包括洗漱、就餐、更衣、如厕等区域，可结合机构日常生活环境布置</w:t>
            </w:r>
          </w:p>
        </w:tc>
        <w:tc>
          <w:tcPr>
            <w:tcW w:w="2270" w:type="dxa"/>
            <w:vMerge w:val="continue"/>
            <w:vAlign w:val="center"/>
          </w:tcPr>
          <w:p w14:paraId="35846D0B">
            <w:pPr>
              <w:rPr>
                <w:rFonts w:ascii="宋体" w:hAnsi="宋体"/>
                <w:color w:val="auto"/>
                <w:highlight w:val="none"/>
              </w:rPr>
            </w:pPr>
          </w:p>
        </w:tc>
        <w:tc>
          <w:tcPr>
            <w:tcW w:w="1275" w:type="dxa"/>
            <w:vAlign w:val="center"/>
          </w:tcPr>
          <w:p w14:paraId="34581910">
            <w:pPr>
              <w:rPr>
                <w:rFonts w:ascii="宋体" w:hAnsi="宋体"/>
                <w:color w:val="auto"/>
                <w:highlight w:val="none"/>
              </w:rPr>
            </w:pPr>
          </w:p>
        </w:tc>
      </w:tr>
      <w:tr w14:paraId="2B4DF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continue"/>
            <w:vAlign w:val="center"/>
          </w:tcPr>
          <w:p w14:paraId="79D34891">
            <w:pPr>
              <w:rPr>
                <w:rFonts w:ascii="宋体" w:hAnsi="宋体"/>
                <w:color w:val="auto"/>
                <w:highlight w:val="none"/>
              </w:rPr>
            </w:pPr>
          </w:p>
        </w:tc>
        <w:tc>
          <w:tcPr>
            <w:tcW w:w="4253" w:type="dxa"/>
            <w:vAlign w:val="center"/>
          </w:tcPr>
          <w:p w14:paraId="3993D864">
            <w:pPr>
              <w:rPr>
                <w:rFonts w:ascii="宋体" w:hAnsi="宋体"/>
                <w:color w:val="auto"/>
                <w:highlight w:val="none"/>
              </w:rPr>
            </w:pPr>
            <w:r>
              <w:rPr>
                <w:rFonts w:hint="eastAsia" w:ascii="宋体" w:hAnsi="宋体"/>
                <w:color w:val="auto"/>
                <w:highlight w:val="none"/>
              </w:rPr>
              <w:t>有独立的室外活动场地，设有安全提示标志和安全设施，确保无安全隐患</w:t>
            </w:r>
          </w:p>
        </w:tc>
        <w:tc>
          <w:tcPr>
            <w:tcW w:w="2270" w:type="dxa"/>
            <w:vMerge w:val="continue"/>
            <w:vAlign w:val="center"/>
          </w:tcPr>
          <w:p w14:paraId="77E13596">
            <w:pPr>
              <w:rPr>
                <w:rFonts w:ascii="宋体" w:hAnsi="宋体"/>
                <w:color w:val="auto"/>
                <w:highlight w:val="none"/>
              </w:rPr>
            </w:pPr>
          </w:p>
        </w:tc>
        <w:tc>
          <w:tcPr>
            <w:tcW w:w="1275" w:type="dxa"/>
            <w:vAlign w:val="center"/>
          </w:tcPr>
          <w:p w14:paraId="15D1C3B7">
            <w:pPr>
              <w:rPr>
                <w:rFonts w:ascii="宋体" w:hAnsi="宋体"/>
                <w:color w:val="auto"/>
                <w:highlight w:val="none"/>
              </w:rPr>
            </w:pPr>
          </w:p>
        </w:tc>
      </w:tr>
      <w:tr w14:paraId="02F54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restart"/>
            <w:vAlign w:val="center"/>
          </w:tcPr>
          <w:p w14:paraId="6A4F97EE">
            <w:pPr>
              <w:rPr>
                <w:rFonts w:ascii="宋体" w:hAnsi="宋体"/>
                <w:color w:val="auto"/>
                <w:highlight w:val="none"/>
              </w:rPr>
            </w:pPr>
            <w:r>
              <w:rPr>
                <w:rFonts w:hint="eastAsia" w:ascii="宋体" w:hAnsi="宋体"/>
                <w:color w:val="auto"/>
                <w:highlight w:val="none"/>
              </w:rPr>
              <w:t>3.</w:t>
            </w:r>
            <w:r>
              <w:rPr>
                <w:rFonts w:ascii="宋体" w:hAnsi="宋体"/>
                <w:color w:val="auto"/>
                <w:highlight w:val="none"/>
              </w:rPr>
              <w:t xml:space="preserve"> </w:t>
            </w:r>
            <w:r>
              <w:rPr>
                <w:rFonts w:hint="eastAsia" w:ascii="宋体" w:hAnsi="宋体"/>
                <w:color w:val="auto"/>
                <w:highlight w:val="none"/>
              </w:rPr>
              <w:t>训练设备</w:t>
            </w:r>
          </w:p>
        </w:tc>
        <w:tc>
          <w:tcPr>
            <w:tcW w:w="4253" w:type="dxa"/>
            <w:vAlign w:val="center"/>
          </w:tcPr>
          <w:p w14:paraId="0A847BC7">
            <w:pPr>
              <w:rPr>
                <w:rFonts w:ascii="宋体" w:hAnsi="宋体"/>
                <w:color w:val="auto"/>
                <w:highlight w:val="none"/>
              </w:rPr>
            </w:pPr>
            <w:r>
              <w:rPr>
                <w:rFonts w:hint="eastAsia" w:ascii="宋体" w:hAnsi="宋体"/>
                <w:color w:val="auto"/>
                <w:highlight w:val="none"/>
              </w:rPr>
              <w:t>康复评估工具：配备心理教育评估表（</w:t>
            </w:r>
            <w:r>
              <w:rPr>
                <w:rFonts w:ascii="宋体" w:hAnsi="宋体"/>
                <w:color w:val="auto"/>
                <w:highlight w:val="none"/>
              </w:rPr>
              <w:t>PEP</w:t>
            </w:r>
            <w:r>
              <w:rPr>
                <w:rFonts w:hint="eastAsia" w:ascii="宋体" w:hAnsi="宋体"/>
                <w:color w:val="auto"/>
                <w:highlight w:val="none"/>
              </w:rPr>
              <w:t>－</w:t>
            </w:r>
            <w:r>
              <w:rPr>
                <w:rFonts w:ascii="宋体" w:hAnsi="宋体"/>
                <w:color w:val="auto"/>
                <w:highlight w:val="none"/>
              </w:rPr>
              <w:t>3</w:t>
            </w:r>
            <w:r>
              <w:rPr>
                <w:rFonts w:hint="eastAsia" w:ascii="宋体" w:hAnsi="宋体"/>
                <w:color w:val="auto"/>
                <w:highlight w:val="none"/>
              </w:rPr>
              <w:t>）</w:t>
            </w:r>
            <w:r>
              <w:rPr>
                <w:rFonts w:ascii="宋体" w:hAnsi="宋体"/>
                <w:color w:val="auto"/>
                <w:highlight w:val="none"/>
              </w:rPr>
              <w:t>/C</w:t>
            </w:r>
            <w:r>
              <w:rPr>
                <w:rFonts w:hint="eastAsia" w:ascii="宋体" w:hAnsi="宋体"/>
                <w:color w:val="auto"/>
                <w:highlight w:val="none"/>
              </w:rPr>
              <w:t>－</w:t>
            </w:r>
            <w:r>
              <w:rPr>
                <w:rFonts w:ascii="宋体" w:hAnsi="宋体"/>
                <w:color w:val="auto"/>
                <w:highlight w:val="none"/>
              </w:rPr>
              <w:t>PEP-3/</w:t>
            </w:r>
            <w:r>
              <w:rPr>
                <w:rFonts w:hint="eastAsia" w:ascii="宋体" w:hAnsi="宋体"/>
                <w:color w:val="auto"/>
                <w:highlight w:val="none"/>
              </w:rPr>
              <w:t>孤独症儿童发展评估表（</w:t>
            </w:r>
            <w:r>
              <w:rPr>
                <w:rFonts w:ascii="宋体" w:hAnsi="宋体"/>
                <w:color w:val="auto"/>
                <w:highlight w:val="none"/>
              </w:rPr>
              <w:t>C</w:t>
            </w:r>
            <w:r>
              <w:rPr>
                <w:rFonts w:hint="eastAsia" w:ascii="宋体" w:hAnsi="宋体"/>
                <w:color w:val="auto"/>
                <w:highlight w:val="none"/>
              </w:rPr>
              <w:t>－</w:t>
            </w:r>
            <w:r>
              <w:rPr>
                <w:rFonts w:ascii="宋体" w:hAnsi="宋体"/>
                <w:color w:val="auto"/>
                <w:highlight w:val="none"/>
              </w:rPr>
              <w:t>PEP</w:t>
            </w:r>
            <w:r>
              <w:rPr>
                <w:rFonts w:hint="eastAsia" w:ascii="宋体" w:hAnsi="宋体"/>
                <w:color w:val="auto"/>
                <w:highlight w:val="none"/>
              </w:rPr>
              <w:t>）、语言行为里程碑评估及安置程序（</w:t>
            </w:r>
            <w:r>
              <w:rPr>
                <w:rFonts w:ascii="宋体" w:hAnsi="宋体"/>
                <w:color w:val="auto"/>
                <w:highlight w:val="none"/>
              </w:rPr>
              <w:t>VB</w:t>
            </w:r>
            <w:r>
              <w:rPr>
                <w:rFonts w:hint="eastAsia" w:ascii="宋体" w:hAnsi="宋体"/>
                <w:color w:val="auto"/>
                <w:highlight w:val="none"/>
              </w:rPr>
              <w:t>－</w:t>
            </w:r>
            <w:r>
              <w:rPr>
                <w:rFonts w:ascii="宋体" w:hAnsi="宋体"/>
                <w:color w:val="auto"/>
                <w:highlight w:val="none"/>
              </w:rPr>
              <w:t>MAPP</w:t>
            </w:r>
            <w:r>
              <w:rPr>
                <w:rFonts w:hint="eastAsia" w:ascii="宋体" w:hAnsi="宋体"/>
                <w:color w:val="auto"/>
                <w:highlight w:val="none"/>
              </w:rPr>
              <w:t>）、婴儿</w:t>
            </w:r>
            <w:r>
              <w:rPr>
                <w:rFonts w:ascii="宋体" w:hAnsi="宋体"/>
                <w:color w:val="auto"/>
                <w:highlight w:val="none"/>
              </w:rPr>
              <w:t>-</w:t>
            </w:r>
            <w:r>
              <w:rPr>
                <w:rFonts w:hint="eastAsia" w:ascii="宋体" w:hAnsi="宋体"/>
                <w:color w:val="auto"/>
                <w:highlight w:val="none"/>
              </w:rPr>
              <w:t>初中生社会生活量表</w:t>
            </w:r>
            <w:r>
              <w:rPr>
                <w:rFonts w:ascii="宋体" w:hAnsi="宋体"/>
                <w:color w:val="auto"/>
                <w:highlight w:val="none"/>
              </w:rPr>
              <w:t>/</w:t>
            </w:r>
            <w:r>
              <w:rPr>
                <w:rFonts w:hint="eastAsia" w:ascii="宋体" w:hAnsi="宋体"/>
                <w:color w:val="auto"/>
                <w:highlight w:val="none"/>
              </w:rPr>
              <w:t>儿童适应行为评定量表</w:t>
            </w:r>
            <w:r>
              <w:rPr>
                <w:rFonts w:ascii="宋体" w:hAnsi="宋体"/>
                <w:color w:val="auto"/>
                <w:highlight w:val="none"/>
              </w:rPr>
              <w:t>/Gesell</w:t>
            </w:r>
            <w:r>
              <w:rPr>
                <w:rFonts w:hint="eastAsia" w:ascii="宋体" w:hAnsi="宋体"/>
                <w:color w:val="auto"/>
                <w:highlight w:val="none"/>
              </w:rPr>
              <w:t>发育量表等，至少配备2种</w:t>
            </w:r>
          </w:p>
        </w:tc>
        <w:tc>
          <w:tcPr>
            <w:tcW w:w="2270" w:type="dxa"/>
            <w:vMerge w:val="restart"/>
            <w:vAlign w:val="center"/>
          </w:tcPr>
          <w:p w14:paraId="178D2D81">
            <w:pPr>
              <w:rPr>
                <w:rFonts w:ascii="宋体" w:hAnsi="宋体"/>
                <w:bCs/>
                <w:color w:val="auto"/>
                <w:highlight w:val="none"/>
              </w:rPr>
            </w:pPr>
            <w:r>
              <w:rPr>
                <w:rFonts w:hint="eastAsia" w:ascii="宋体" w:hAnsi="宋体"/>
                <w:bCs/>
                <w:color w:val="auto"/>
                <w:highlight w:val="none"/>
              </w:rPr>
              <w:t>提供清单及使用过程中的照片</w:t>
            </w:r>
          </w:p>
        </w:tc>
        <w:tc>
          <w:tcPr>
            <w:tcW w:w="1275" w:type="dxa"/>
            <w:vAlign w:val="center"/>
          </w:tcPr>
          <w:p w14:paraId="1E1767C9">
            <w:pPr>
              <w:rPr>
                <w:rFonts w:ascii="宋体" w:hAnsi="宋体"/>
                <w:color w:val="auto"/>
                <w:highlight w:val="none"/>
              </w:rPr>
            </w:pPr>
          </w:p>
        </w:tc>
      </w:tr>
      <w:tr w14:paraId="18CEC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continue"/>
            <w:vAlign w:val="center"/>
          </w:tcPr>
          <w:p w14:paraId="179DC7C8">
            <w:pPr>
              <w:rPr>
                <w:rFonts w:ascii="宋体" w:hAnsi="宋体"/>
                <w:color w:val="auto"/>
                <w:highlight w:val="none"/>
              </w:rPr>
            </w:pPr>
          </w:p>
        </w:tc>
        <w:tc>
          <w:tcPr>
            <w:tcW w:w="4253" w:type="dxa"/>
            <w:vAlign w:val="center"/>
          </w:tcPr>
          <w:p w14:paraId="1B060BBE">
            <w:pPr>
              <w:rPr>
                <w:rFonts w:ascii="宋体" w:hAnsi="宋体"/>
                <w:color w:val="auto"/>
                <w:highlight w:val="none"/>
              </w:rPr>
            </w:pPr>
            <w:r>
              <w:rPr>
                <w:rFonts w:hint="eastAsia" w:ascii="宋体" w:hAnsi="宋体"/>
                <w:color w:val="auto"/>
                <w:highlight w:val="none"/>
              </w:rPr>
              <w:t>康复训练设备：滑板车、大滑板、吊筒、钻滚筒、羊角球、大龙球、布袋跳、触觉球、按摩地垫、平衡木、平衡踩踏车、万象组合包、精细运动训练玩具等</w:t>
            </w:r>
          </w:p>
        </w:tc>
        <w:tc>
          <w:tcPr>
            <w:tcW w:w="2270" w:type="dxa"/>
            <w:vMerge w:val="continue"/>
            <w:vAlign w:val="center"/>
          </w:tcPr>
          <w:p w14:paraId="51FD3876">
            <w:pPr>
              <w:rPr>
                <w:rFonts w:ascii="宋体" w:hAnsi="宋体"/>
                <w:bCs/>
                <w:color w:val="auto"/>
                <w:highlight w:val="none"/>
              </w:rPr>
            </w:pPr>
          </w:p>
        </w:tc>
        <w:tc>
          <w:tcPr>
            <w:tcW w:w="1275" w:type="dxa"/>
            <w:vAlign w:val="center"/>
          </w:tcPr>
          <w:p w14:paraId="7A6BE8CC">
            <w:pPr>
              <w:rPr>
                <w:rFonts w:ascii="宋体" w:hAnsi="宋体"/>
                <w:color w:val="auto"/>
                <w:highlight w:val="none"/>
              </w:rPr>
            </w:pPr>
          </w:p>
        </w:tc>
      </w:tr>
      <w:tr w14:paraId="2DB91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continue"/>
            <w:vAlign w:val="center"/>
          </w:tcPr>
          <w:p w14:paraId="4F2D482E">
            <w:pPr>
              <w:rPr>
                <w:rFonts w:ascii="宋体" w:hAnsi="宋体"/>
                <w:color w:val="auto"/>
                <w:highlight w:val="none"/>
              </w:rPr>
            </w:pPr>
          </w:p>
        </w:tc>
        <w:tc>
          <w:tcPr>
            <w:tcW w:w="4253" w:type="dxa"/>
            <w:vAlign w:val="center"/>
          </w:tcPr>
          <w:p w14:paraId="1736DD09">
            <w:pPr>
              <w:rPr>
                <w:rFonts w:ascii="宋体" w:hAnsi="宋体"/>
                <w:color w:val="auto"/>
                <w:highlight w:val="none"/>
              </w:rPr>
            </w:pPr>
            <w:r>
              <w:rPr>
                <w:rFonts w:hint="eastAsia" w:ascii="宋体" w:hAnsi="宋体"/>
                <w:color w:val="auto"/>
                <w:highlight w:val="none"/>
              </w:rPr>
              <w:t>教学设备：配备儿童的课桌椅、大小黑（白）板、多媒体教学器材；适合儿童特点的挂图、卡片、音乐、游戏等教玩具；配备至少80件符合儿童训练特点的各类玩具和图书。配备家长培训所需的教学设备。</w:t>
            </w:r>
          </w:p>
        </w:tc>
        <w:tc>
          <w:tcPr>
            <w:tcW w:w="2270" w:type="dxa"/>
            <w:vMerge w:val="continue"/>
            <w:vAlign w:val="center"/>
          </w:tcPr>
          <w:p w14:paraId="2ECA7152">
            <w:pPr>
              <w:rPr>
                <w:rFonts w:ascii="宋体" w:hAnsi="宋体"/>
                <w:bCs/>
                <w:color w:val="auto"/>
                <w:highlight w:val="none"/>
              </w:rPr>
            </w:pPr>
          </w:p>
        </w:tc>
        <w:tc>
          <w:tcPr>
            <w:tcW w:w="1275" w:type="dxa"/>
            <w:vAlign w:val="center"/>
          </w:tcPr>
          <w:p w14:paraId="276A2278">
            <w:pPr>
              <w:rPr>
                <w:rFonts w:ascii="宋体" w:hAnsi="宋体"/>
                <w:color w:val="auto"/>
                <w:highlight w:val="none"/>
              </w:rPr>
            </w:pPr>
          </w:p>
        </w:tc>
      </w:tr>
      <w:tr w14:paraId="7E07B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restart"/>
            <w:vAlign w:val="center"/>
          </w:tcPr>
          <w:p w14:paraId="313E6AF3">
            <w:pPr>
              <w:rPr>
                <w:rFonts w:ascii="宋体" w:hAnsi="宋体"/>
                <w:color w:val="auto"/>
                <w:highlight w:val="none"/>
              </w:rPr>
            </w:pPr>
            <w:r>
              <w:rPr>
                <w:rFonts w:hint="eastAsia" w:ascii="宋体" w:hAnsi="宋体"/>
                <w:bCs/>
                <w:color w:val="auto"/>
                <w:highlight w:val="none"/>
              </w:rPr>
              <w:t>4.</w:t>
            </w:r>
            <w:r>
              <w:rPr>
                <w:rFonts w:ascii="宋体" w:hAnsi="宋体"/>
                <w:bCs/>
                <w:color w:val="auto"/>
                <w:highlight w:val="none"/>
              </w:rPr>
              <w:t xml:space="preserve"> </w:t>
            </w:r>
            <w:r>
              <w:rPr>
                <w:rFonts w:hint="eastAsia" w:ascii="宋体" w:hAnsi="宋体"/>
                <w:bCs/>
                <w:color w:val="auto"/>
                <w:highlight w:val="none"/>
              </w:rPr>
              <w:t>人员配备</w:t>
            </w:r>
          </w:p>
        </w:tc>
        <w:tc>
          <w:tcPr>
            <w:tcW w:w="4253" w:type="dxa"/>
            <w:vAlign w:val="center"/>
          </w:tcPr>
          <w:p w14:paraId="4299C06C">
            <w:pPr>
              <w:rPr>
                <w:rFonts w:ascii="宋体" w:hAnsi="宋体"/>
                <w:bCs/>
                <w:color w:val="auto"/>
                <w:highlight w:val="none"/>
              </w:rPr>
            </w:pPr>
            <w:r>
              <w:rPr>
                <w:rFonts w:hint="eastAsia" w:ascii="宋体" w:hAnsi="宋体"/>
                <w:bCs/>
                <w:color w:val="auto"/>
                <w:highlight w:val="none"/>
              </w:rPr>
              <w:t>至少配备1名康复业务主管（具有教育、医疗、康复、心理等相关专业本科以上学历，三年以上机构管理工作经验</w:t>
            </w:r>
          </w:p>
        </w:tc>
        <w:tc>
          <w:tcPr>
            <w:tcW w:w="2270" w:type="dxa"/>
            <w:vMerge w:val="restart"/>
            <w:vAlign w:val="center"/>
          </w:tcPr>
          <w:p w14:paraId="1F77C867">
            <w:pPr>
              <w:rPr>
                <w:rFonts w:ascii="宋体" w:hAnsi="宋体"/>
                <w:bCs/>
                <w:color w:val="auto"/>
                <w:highlight w:val="none"/>
              </w:rPr>
            </w:pPr>
            <w:r>
              <w:rPr>
                <w:rFonts w:hint="eastAsia" w:ascii="宋体" w:hAnsi="宋体"/>
                <w:bCs/>
                <w:color w:val="auto"/>
                <w:highlight w:val="none"/>
              </w:rPr>
              <w:t>提供《项目人员配置清单》和《在训儿童清单》（格式见附件</w:t>
            </w:r>
            <w:r>
              <w:rPr>
                <w:rFonts w:ascii="宋体" w:hAnsi="宋体"/>
                <w:bCs/>
                <w:color w:val="auto"/>
                <w:highlight w:val="none"/>
              </w:rPr>
              <w:t>1</w:t>
            </w:r>
            <w:r>
              <w:rPr>
                <w:rFonts w:hint="eastAsia" w:ascii="宋体" w:hAnsi="宋体"/>
                <w:bCs/>
                <w:color w:val="auto"/>
                <w:highlight w:val="none"/>
              </w:rPr>
              <w:t>、</w:t>
            </w:r>
            <w:r>
              <w:rPr>
                <w:rFonts w:ascii="宋体" w:hAnsi="宋体"/>
                <w:bCs/>
                <w:color w:val="auto"/>
                <w:highlight w:val="none"/>
              </w:rPr>
              <w:t>2</w:t>
            </w:r>
            <w:r>
              <w:rPr>
                <w:rFonts w:hint="eastAsia" w:ascii="宋体" w:hAnsi="宋体"/>
                <w:bCs/>
                <w:color w:val="auto"/>
                <w:highlight w:val="none"/>
              </w:rPr>
              <w:t>），并按要求提供证明材料（人员学历证书（或学信网相关查询记录）、工作经验相关证明、资格证书、申请人近三个月中任意一个月份（不含征集当月）为其缴纳社保的证明、健康检查合格证明或体检报告，公办机构的编外劳务派遣专业技术人员的另需提供第三方劳务派遣协议等证明资料）。</w:t>
            </w:r>
          </w:p>
        </w:tc>
        <w:tc>
          <w:tcPr>
            <w:tcW w:w="1275" w:type="dxa"/>
            <w:vAlign w:val="center"/>
          </w:tcPr>
          <w:p w14:paraId="514FD0BD">
            <w:pPr>
              <w:rPr>
                <w:rFonts w:ascii="宋体" w:hAnsi="宋体"/>
                <w:color w:val="auto"/>
                <w:highlight w:val="none"/>
              </w:rPr>
            </w:pPr>
          </w:p>
        </w:tc>
      </w:tr>
      <w:tr w14:paraId="5A0FC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continue"/>
            <w:vAlign w:val="center"/>
          </w:tcPr>
          <w:p w14:paraId="09952F26">
            <w:pPr>
              <w:rPr>
                <w:rFonts w:ascii="宋体" w:hAnsi="宋体"/>
                <w:color w:val="auto"/>
                <w:highlight w:val="none"/>
              </w:rPr>
            </w:pPr>
          </w:p>
        </w:tc>
        <w:tc>
          <w:tcPr>
            <w:tcW w:w="4253" w:type="dxa"/>
            <w:vAlign w:val="center"/>
          </w:tcPr>
          <w:p w14:paraId="3B3E89F7">
            <w:pPr>
              <w:rPr>
                <w:rFonts w:ascii="宋体" w:hAnsi="宋体"/>
                <w:bCs/>
                <w:color w:val="auto"/>
                <w:highlight w:val="none"/>
              </w:rPr>
            </w:pPr>
            <w:r>
              <w:rPr>
                <w:rFonts w:hint="eastAsia" w:ascii="宋体" w:hAnsi="宋体"/>
                <w:bCs/>
                <w:color w:val="auto"/>
                <w:highlight w:val="none"/>
              </w:rPr>
              <w:t>医疗类机构：配备至少一名康复医师，具有康复医学与理疗学、儿科、中医或中西医专业背景本科以上学历，取得国家医师资格证书并注册在本机构。教育类机构：配备至少3名康复教师，具有特殊教育、学前教育、心理学等相关专业背景大专以上学历，并取得教师资格证。</w:t>
            </w:r>
          </w:p>
        </w:tc>
        <w:tc>
          <w:tcPr>
            <w:tcW w:w="2270" w:type="dxa"/>
            <w:vMerge w:val="continue"/>
            <w:vAlign w:val="center"/>
          </w:tcPr>
          <w:p w14:paraId="693F954E">
            <w:pPr>
              <w:rPr>
                <w:rFonts w:ascii="宋体" w:hAnsi="宋体"/>
                <w:bCs/>
                <w:color w:val="auto"/>
                <w:highlight w:val="none"/>
              </w:rPr>
            </w:pPr>
          </w:p>
        </w:tc>
        <w:tc>
          <w:tcPr>
            <w:tcW w:w="1275" w:type="dxa"/>
            <w:vAlign w:val="center"/>
          </w:tcPr>
          <w:p w14:paraId="474FC39A">
            <w:pPr>
              <w:rPr>
                <w:rFonts w:ascii="宋体" w:hAnsi="宋体"/>
                <w:color w:val="auto"/>
                <w:highlight w:val="none"/>
              </w:rPr>
            </w:pPr>
          </w:p>
        </w:tc>
      </w:tr>
      <w:tr w14:paraId="647D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continue"/>
            <w:vAlign w:val="center"/>
          </w:tcPr>
          <w:p w14:paraId="2A000490">
            <w:pPr>
              <w:rPr>
                <w:rFonts w:ascii="宋体" w:hAnsi="宋体"/>
                <w:color w:val="auto"/>
                <w:highlight w:val="none"/>
              </w:rPr>
            </w:pPr>
          </w:p>
        </w:tc>
        <w:tc>
          <w:tcPr>
            <w:tcW w:w="4253" w:type="dxa"/>
            <w:vAlign w:val="center"/>
          </w:tcPr>
          <w:p w14:paraId="5DBBDD94">
            <w:pPr>
              <w:rPr>
                <w:rFonts w:ascii="宋体" w:hAnsi="宋体"/>
                <w:bCs/>
                <w:color w:val="auto"/>
                <w:highlight w:val="none"/>
              </w:rPr>
            </w:pPr>
            <w:r>
              <w:rPr>
                <w:rFonts w:hint="eastAsia" w:ascii="宋体" w:hAnsi="宋体"/>
                <w:bCs/>
                <w:color w:val="auto"/>
                <w:highlight w:val="none"/>
              </w:rPr>
              <w:t>至少配备2名康复治疗师，具有医疗、康复、护理相关专业背景大专以上学历，并取得相应执业资格</w:t>
            </w:r>
          </w:p>
        </w:tc>
        <w:tc>
          <w:tcPr>
            <w:tcW w:w="2270" w:type="dxa"/>
            <w:vMerge w:val="continue"/>
            <w:vAlign w:val="center"/>
          </w:tcPr>
          <w:p w14:paraId="0B306BBB">
            <w:pPr>
              <w:rPr>
                <w:rFonts w:ascii="宋体" w:hAnsi="宋体"/>
                <w:bCs/>
                <w:color w:val="auto"/>
                <w:highlight w:val="none"/>
              </w:rPr>
            </w:pPr>
          </w:p>
        </w:tc>
        <w:tc>
          <w:tcPr>
            <w:tcW w:w="1275" w:type="dxa"/>
            <w:vAlign w:val="center"/>
          </w:tcPr>
          <w:p w14:paraId="5BA1AD2A">
            <w:pPr>
              <w:rPr>
                <w:rFonts w:ascii="宋体" w:hAnsi="宋体"/>
                <w:color w:val="auto"/>
                <w:highlight w:val="none"/>
              </w:rPr>
            </w:pPr>
          </w:p>
        </w:tc>
      </w:tr>
      <w:tr w14:paraId="7271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continue"/>
            <w:vAlign w:val="center"/>
          </w:tcPr>
          <w:p w14:paraId="2AC25008">
            <w:pPr>
              <w:rPr>
                <w:rFonts w:ascii="宋体" w:hAnsi="宋体"/>
                <w:color w:val="auto"/>
                <w:highlight w:val="none"/>
              </w:rPr>
            </w:pPr>
          </w:p>
        </w:tc>
        <w:tc>
          <w:tcPr>
            <w:tcW w:w="4253" w:type="dxa"/>
            <w:vAlign w:val="center"/>
          </w:tcPr>
          <w:p w14:paraId="7B8505D0">
            <w:pPr>
              <w:rPr>
                <w:rFonts w:ascii="宋体" w:hAnsi="宋体"/>
                <w:bCs/>
                <w:color w:val="auto"/>
                <w:highlight w:val="none"/>
              </w:rPr>
            </w:pPr>
            <w:r>
              <w:rPr>
                <w:rFonts w:hint="eastAsia" w:ascii="宋体" w:hAnsi="宋体"/>
                <w:bCs/>
                <w:color w:val="auto"/>
                <w:highlight w:val="none"/>
              </w:rPr>
              <w:t>上述专业技术人员均在本单位缴纳社会保险，均应取得健康证明</w:t>
            </w:r>
          </w:p>
        </w:tc>
        <w:tc>
          <w:tcPr>
            <w:tcW w:w="2270" w:type="dxa"/>
            <w:vMerge w:val="continue"/>
            <w:vAlign w:val="center"/>
          </w:tcPr>
          <w:p w14:paraId="393D04A2">
            <w:pPr>
              <w:rPr>
                <w:rFonts w:ascii="宋体" w:hAnsi="宋体"/>
                <w:bCs/>
                <w:color w:val="auto"/>
                <w:highlight w:val="none"/>
              </w:rPr>
            </w:pPr>
          </w:p>
        </w:tc>
        <w:tc>
          <w:tcPr>
            <w:tcW w:w="1275" w:type="dxa"/>
            <w:vAlign w:val="center"/>
          </w:tcPr>
          <w:p w14:paraId="74E78F4B">
            <w:pPr>
              <w:rPr>
                <w:rFonts w:ascii="宋体" w:hAnsi="宋体"/>
                <w:color w:val="auto"/>
                <w:highlight w:val="none"/>
              </w:rPr>
            </w:pPr>
          </w:p>
        </w:tc>
      </w:tr>
      <w:tr w14:paraId="5EF4E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continue"/>
            <w:vAlign w:val="center"/>
          </w:tcPr>
          <w:p w14:paraId="79B030B7">
            <w:pPr>
              <w:rPr>
                <w:rFonts w:ascii="宋体" w:hAnsi="宋体"/>
                <w:color w:val="auto"/>
                <w:highlight w:val="none"/>
              </w:rPr>
            </w:pPr>
          </w:p>
        </w:tc>
        <w:tc>
          <w:tcPr>
            <w:tcW w:w="4253" w:type="dxa"/>
            <w:vAlign w:val="center"/>
          </w:tcPr>
          <w:p w14:paraId="7749DC88">
            <w:pPr>
              <w:rPr>
                <w:rFonts w:ascii="宋体" w:hAnsi="宋体"/>
                <w:bCs/>
                <w:color w:val="auto"/>
                <w:highlight w:val="none"/>
              </w:rPr>
            </w:pPr>
            <w:r>
              <w:rPr>
                <w:rFonts w:hint="eastAsia" w:ascii="宋体" w:hAnsi="宋体"/>
                <w:bCs/>
                <w:color w:val="auto"/>
                <w:highlight w:val="none"/>
              </w:rPr>
              <w:t>个训教师与残疾儿童比例不低于</w:t>
            </w:r>
            <w:r>
              <w:rPr>
                <w:rFonts w:ascii="宋体" w:hAnsi="宋体"/>
                <w:bCs/>
                <w:color w:val="auto"/>
                <w:highlight w:val="none"/>
              </w:rPr>
              <w:t>1:8</w:t>
            </w:r>
            <w:r>
              <w:rPr>
                <w:rFonts w:hint="eastAsia" w:ascii="宋体" w:hAnsi="宋体"/>
                <w:bCs/>
                <w:color w:val="auto"/>
                <w:highlight w:val="none"/>
              </w:rPr>
              <w:t>；康复治疗师与残疾儿童的比例不低于</w:t>
            </w:r>
            <w:r>
              <w:rPr>
                <w:rFonts w:ascii="宋体" w:hAnsi="宋体"/>
                <w:bCs/>
                <w:color w:val="auto"/>
                <w:highlight w:val="none"/>
              </w:rPr>
              <w:t>1:15</w:t>
            </w:r>
          </w:p>
        </w:tc>
        <w:tc>
          <w:tcPr>
            <w:tcW w:w="2270" w:type="dxa"/>
            <w:vMerge w:val="continue"/>
            <w:vAlign w:val="center"/>
          </w:tcPr>
          <w:p w14:paraId="679E3794">
            <w:pPr>
              <w:rPr>
                <w:rFonts w:ascii="宋体" w:hAnsi="宋体"/>
                <w:bCs/>
                <w:color w:val="auto"/>
                <w:highlight w:val="none"/>
              </w:rPr>
            </w:pPr>
          </w:p>
        </w:tc>
        <w:tc>
          <w:tcPr>
            <w:tcW w:w="1275" w:type="dxa"/>
            <w:vAlign w:val="center"/>
          </w:tcPr>
          <w:p w14:paraId="3BC71171">
            <w:pPr>
              <w:rPr>
                <w:rFonts w:ascii="宋体" w:hAnsi="宋体"/>
                <w:color w:val="auto"/>
                <w:highlight w:val="none"/>
              </w:rPr>
            </w:pPr>
          </w:p>
        </w:tc>
      </w:tr>
      <w:tr w14:paraId="44F6B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restart"/>
            <w:vAlign w:val="center"/>
          </w:tcPr>
          <w:p w14:paraId="751CEDEC">
            <w:pPr>
              <w:rPr>
                <w:rFonts w:ascii="宋体" w:hAnsi="宋体"/>
                <w:bCs/>
                <w:color w:val="auto"/>
                <w:highlight w:val="none"/>
              </w:rPr>
            </w:pPr>
            <w:r>
              <w:rPr>
                <w:rFonts w:hint="eastAsia" w:ascii="宋体" w:hAnsi="宋体"/>
                <w:bCs/>
                <w:color w:val="auto"/>
                <w:highlight w:val="none"/>
              </w:rPr>
              <w:t>5.服务能力</w:t>
            </w:r>
          </w:p>
        </w:tc>
        <w:tc>
          <w:tcPr>
            <w:tcW w:w="4253" w:type="dxa"/>
            <w:vAlign w:val="center"/>
          </w:tcPr>
          <w:p w14:paraId="71E068C6">
            <w:pPr>
              <w:rPr>
                <w:rFonts w:ascii="宋体" w:hAnsi="宋体"/>
                <w:bCs/>
                <w:color w:val="auto"/>
                <w:highlight w:val="none"/>
              </w:rPr>
            </w:pPr>
            <w:r>
              <w:rPr>
                <w:rFonts w:hint="eastAsia" w:ascii="宋体" w:hAnsi="宋体"/>
                <w:bCs/>
                <w:color w:val="auto"/>
                <w:highlight w:val="none"/>
              </w:rPr>
              <w:t>目前在训或投标前1年内训练周期不少于3个月的孤独症儿童不少于10名</w:t>
            </w:r>
          </w:p>
        </w:tc>
        <w:tc>
          <w:tcPr>
            <w:tcW w:w="2270" w:type="dxa"/>
            <w:vAlign w:val="center"/>
          </w:tcPr>
          <w:p w14:paraId="49205F4D">
            <w:pPr>
              <w:rPr>
                <w:rFonts w:ascii="宋体" w:hAnsi="宋体"/>
                <w:bCs/>
                <w:color w:val="auto"/>
                <w:highlight w:val="none"/>
              </w:rPr>
            </w:pPr>
            <w:r>
              <w:rPr>
                <w:rFonts w:hint="eastAsia" w:ascii="宋体" w:hAnsi="宋体"/>
                <w:bCs/>
                <w:color w:val="auto"/>
                <w:highlight w:val="none"/>
              </w:rPr>
              <w:t>提供《在训儿童清单》，每名儿童均需出具三级医疗机构出具的医疗诊断书（诊断明确为孤独症、疑似孤独症、0-3岁儿童诊断为发育迟缓等）或精神残疾人证，已纳入康复救助的在训儿童可以无锡市残联信息系统康复救助审核通过的截图代替）</w:t>
            </w:r>
          </w:p>
        </w:tc>
        <w:tc>
          <w:tcPr>
            <w:tcW w:w="1275" w:type="dxa"/>
            <w:vAlign w:val="center"/>
          </w:tcPr>
          <w:p w14:paraId="79F4F20C">
            <w:pPr>
              <w:rPr>
                <w:rFonts w:ascii="宋体" w:hAnsi="宋体"/>
                <w:color w:val="auto"/>
                <w:highlight w:val="none"/>
              </w:rPr>
            </w:pPr>
          </w:p>
        </w:tc>
      </w:tr>
      <w:tr w14:paraId="58820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continue"/>
            <w:vAlign w:val="center"/>
          </w:tcPr>
          <w:p w14:paraId="47F761C9">
            <w:pPr>
              <w:rPr>
                <w:rFonts w:ascii="宋体" w:hAnsi="宋体"/>
                <w:bCs/>
                <w:color w:val="auto"/>
                <w:highlight w:val="none"/>
              </w:rPr>
            </w:pPr>
          </w:p>
        </w:tc>
        <w:tc>
          <w:tcPr>
            <w:tcW w:w="4253" w:type="dxa"/>
            <w:vAlign w:val="center"/>
          </w:tcPr>
          <w:p w14:paraId="786F3C13">
            <w:pPr>
              <w:rPr>
                <w:rFonts w:ascii="宋体" w:hAnsi="宋体"/>
                <w:bCs/>
                <w:color w:val="auto"/>
                <w:highlight w:val="none"/>
              </w:rPr>
            </w:pPr>
            <w:r>
              <w:rPr>
                <w:rFonts w:hint="eastAsia" w:ascii="宋体" w:hAnsi="宋体"/>
                <w:bCs/>
                <w:color w:val="auto"/>
                <w:highlight w:val="none"/>
              </w:rPr>
              <w:t>能提供以下训练内容：社会交往与沟通、认知与感知、运动、生活自理、兴趣与行为、情绪管理和社会融合活动</w:t>
            </w:r>
          </w:p>
        </w:tc>
        <w:tc>
          <w:tcPr>
            <w:tcW w:w="2270" w:type="dxa"/>
            <w:vAlign w:val="center"/>
          </w:tcPr>
          <w:p w14:paraId="5E609FDC">
            <w:pPr>
              <w:rPr>
                <w:rFonts w:ascii="宋体" w:hAnsi="宋体"/>
                <w:bCs/>
                <w:color w:val="auto"/>
                <w:highlight w:val="none"/>
              </w:rPr>
            </w:pPr>
            <w:r>
              <w:rPr>
                <w:rFonts w:hint="eastAsia" w:ascii="宋体" w:hAnsi="宋体"/>
                <w:bCs/>
                <w:color w:val="auto"/>
                <w:highlight w:val="none"/>
              </w:rPr>
              <w:t>至少提供6张以上不同训练情境的照片并匹配文字</w:t>
            </w:r>
          </w:p>
        </w:tc>
        <w:tc>
          <w:tcPr>
            <w:tcW w:w="1275" w:type="dxa"/>
            <w:vAlign w:val="center"/>
          </w:tcPr>
          <w:p w14:paraId="3BE1979C">
            <w:pPr>
              <w:rPr>
                <w:rFonts w:ascii="宋体" w:hAnsi="宋体"/>
                <w:color w:val="auto"/>
                <w:highlight w:val="none"/>
              </w:rPr>
            </w:pPr>
          </w:p>
        </w:tc>
      </w:tr>
      <w:tr w14:paraId="401F6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Merge w:val="continue"/>
            <w:vAlign w:val="center"/>
          </w:tcPr>
          <w:p w14:paraId="0FB708D4">
            <w:pPr>
              <w:rPr>
                <w:rFonts w:ascii="宋体" w:hAnsi="宋体"/>
                <w:bCs/>
                <w:color w:val="auto"/>
                <w:highlight w:val="none"/>
              </w:rPr>
            </w:pPr>
          </w:p>
        </w:tc>
        <w:tc>
          <w:tcPr>
            <w:tcW w:w="4253" w:type="dxa"/>
            <w:vAlign w:val="center"/>
          </w:tcPr>
          <w:p w14:paraId="7BDA631C">
            <w:pPr>
              <w:rPr>
                <w:rFonts w:ascii="宋体" w:hAnsi="宋体"/>
                <w:bCs/>
                <w:color w:val="auto"/>
                <w:highlight w:val="none"/>
              </w:rPr>
            </w:pPr>
            <w:r>
              <w:rPr>
                <w:rFonts w:hint="eastAsia" w:ascii="宋体" w:hAnsi="宋体"/>
                <w:bCs/>
                <w:color w:val="auto"/>
                <w:highlight w:val="none"/>
              </w:rPr>
              <w:t>至少提供1份完整的基本康复训练档案，包括康复服务登记表、初始状态评估表、康复训练计划、康复训练记录或康复训练日志、阶段性评估表（至少每半年1次）、训练出勤表（缺一不可）</w:t>
            </w:r>
          </w:p>
        </w:tc>
        <w:tc>
          <w:tcPr>
            <w:tcW w:w="2270" w:type="dxa"/>
            <w:vAlign w:val="center"/>
          </w:tcPr>
          <w:p w14:paraId="04192EEC">
            <w:pPr>
              <w:rPr>
                <w:rFonts w:ascii="宋体" w:hAnsi="宋体"/>
                <w:bCs/>
                <w:color w:val="auto"/>
                <w:highlight w:val="none"/>
              </w:rPr>
            </w:pPr>
            <w:r>
              <w:rPr>
                <w:rFonts w:hint="eastAsia" w:ascii="宋体" w:hAnsi="宋体"/>
                <w:bCs/>
                <w:color w:val="auto"/>
                <w:highlight w:val="none"/>
              </w:rPr>
              <w:t>至少提供1份完整的基本康复训练档案（六项内容缺一不可）</w:t>
            </w:r>
          </w:p>
        </w:tc>
        <w:tc>
          <w:tcPr>
            <w:tcW w:w="1275" w:type="dxa"/>
            <w:vAlign w:val="center"/>
          </w:tcPr>
          <w:p w14:paraId="5529D00D">
            <w:pPr>
              <w:rPr>
                <w:rFonts w:ascii="宋体" w:hAnsi="宋体"/>
                <w:color w:val="auto"/>
                <w:highlight w:val="none"/>
              </w:rPr>
            </w:pPr>
          </w:p>
        </w:tc>
      </w:tr>
      <w:tr w14:paraId="3161E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Align w:val="center"/>
          </w:tcPr>
          <w:p w14:paraId="0F73A360">
            <w:pPr>
              <w:rPr>
                <w:rFonts w:ascii="宋体" w:hAnsi="宋体"/>
                <w:bCs/>
                <w:color w:val="auto"/>
                <w:highlight w:val="none"/>
              </w:rPr>
            </w:pPr>
            <w:r>
              <w:rPr>
                <w:rFonts w:hint="eastAsia" w:ascii="宋体" w:hAnsi="宋体"/>
                <w:bCs/>
                <w:color w:val="auto"/>
                <w:highlight w:val="none"/>
              </w:rPr>
              <w:t>6.</w:t>
            </w:r>
            <w:r>
              <w:rPr>
                <w:rFonts w:ascii="宋体" w:hAnsi="宋体"/>
                <w:bCs/>
                <w:color w:val="auto"/>
                <w:highlight w:val="none"/>
              </w:rPr>
              <w:t xml:space="preserve"> </w:t>
            </w:r>
            <w:r>
              <w:rPr>
                <w:rFonts w:hint="eastAsia" w:ascii="宋体" w:hAnsi="宋体"/>
                <w:bCs/>
                <w:color w:val="auto"/>
                <w:highlight w:val="none"/>
              </w:rPr>
              <w:t>制度管理</w:t>
            </w:r>
          </w:p>
        </w:tc>
        <w:tc>
          <w:tcPr>
            <w:tcW w:w="4253" w:type="dxa"/>
            <w:vAlign w:val="center"/>
          </w:tcPr>
          <w:p w14:paraId="624F4794">
            <w:pPr>
              <w:rPr>
                <w:rFonts w:ascii="宋体" w:hAnsi="宋体"/>
                <w:bCs/>
                <w:color w:val="auto"/>
                <w:highlight w:val="none"/>
              </w:rPr>
            </w:pPr>
            <w:r>
              <w:rPr>
                <w:rFonts w:hint="eastAsia" w:ascii="宋体" w:hAnsi="宋体"/>
                <w:bCs/>
                <w:color w:val="auto"/>
                <w:highlight w:val="none"/>
              </w:rPr>
              <w:t>具备岗位职责、业务管理、突发事件应急预案等内控制度，服务项目等信息向服务对象公示</w:t>
            </w:r>
          </w:p>
        </w:tc>
        <w:tc>
          <w:tcPr>
            <w:tcW w:w="2270" w:type="dxa"/>
            <w:vAlign w:val="center"/>
          </w:tcPr>
          <w:p w14:paraId="1679F154">
            <w:pPr>
              <w:rPr>
                <w:rFonts w:ascii="宋体" w:hAnsi="宋体"/>
                <w:bCs/>
                <w:color w:val="auto"/>
                <w:highlight w:val="none"/>
              </w:rPr>
            </w:pPr>
            <w:r>
              <w:rPr>
                <w:rFonts w:hint="eastAsia" w:ascii="宋体" w:hAnsi="宋体"/>
                <w:bCs/>
                <w:color w:val="auto"/>
                <w:highlight w:val="none"/>
              </w:rPr>
              <w:t>提供照片、文字资料</w:t>
            </w:r>
          </w:p>
        </w:tc>
        <w:tc>
          <w:tcPr>
            <w:tcW w:w="1275" w:type="dxa"/>
            <w:vAlign w:val="center"/>
          </w:tcPr>
          <w:p w14:paraId="5F2BE0F5">
            <w:pPr>
              <w:rPr>
                <w:rFonts w:ascii="宋体" w:hAnsi="宋体"/>
                <w:color w:val="auto"/>
                <w:highlight w:val="none"/>
              </w:rPr>
            </w:pPr>
          </w:p>
        </w:tc>
      </w:tr>
      <w:tr w14:paraId="21873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9" w:hRule="atLeast"/>
        </w:trPr>
        <w:tc>
          <w:tcPr>
            <w:tcW w:w="1384" w:type="dxa"/>
            <w:vAlign w:val="center"/>
          </w:tcPr>
          <w:p w14:paraId="1510E3C4">
            <w:pPr>
              <w:rPr>
                <w:rFonts w:ascii="宋体" w:hAnsi="宋体"/>
                <w:bCs/>
                <w:color w:val="auto"/>
                <w:highlight w:val="none"/>
              </w:rPr>
            </w:pPr>
            <w:r>
              <w:rPr>
                <w:rFonts w:hint="eastAsia" w:ascii="宋体" w:hAnsi="宋体"/>
                <w:bCs/>
                <w:color w:val="auto"/>
                <w:highlight w:val="none"/>
              </w:rPr>
              <w:t>7. 服务计费</w:t>
            </w:r>
          </w:p>
        </w:tc>
        <w:tc>
          <w:tcPr>
            <w:tcW w:w="4253" w:type="dxa"/>
            <w:vAlign w:val="center"/>
          </w:tcPr>
          <w:p w14:paraId="43FE8987">
            <w:pPr>
              <w:rPr>
                <w:rFonts w:ascii="宋体" w:hAnsi="宋体"/>
                <w:bCs/>
                <w:color w:val="auto"/>
                <w:highlight w:val="none"/>
              </w:rPr>
            </w:pPr>
            <w:r>
              <w:rPr>
                <w:rFonts w:hint="eastAsia" w:ascii="宋体" w:hAnsi="宋体"/>
                <w:bCs/>
                <w:color w:val="auto"/>
                <w:highlight w:val="none"/>
              </w:rPr>
              <w:t>按医疗机构康复服务项目标准提供服务</w:t>
            </w:r>
          </w:p>
        </w:tc>
        <w:tc>
          <w:tcPr>
            <w:tcW w:w="2270" w:type="dxa"/>
            <w:vAlign w:val="center"/>
          </w:tcPr>
          <w:p w14:paraId="16EEEA25">
            <w:pPr>
              <w:rPr>
                <w:rFonts w:ascii="宋体" w:hAnsi="宋体"/>
                <w:bCs/>
                <w:color w:val="auto"/>
                <w:highlight w:val="none"/>
              </w:rPr>
            </w:pPr>
            <w:r>
              <w:rPr>
                <w:rFonts w:hint="eastAsia" w:ascii="宋体" w:hAnsi="宋体"/>
                <w:bCs/>
                <w:color w:val="auto"/>
                <w:highlight w:val="none"/>
              </w:rPr>
              <w:t>提供孤独症康复项目收费价目表一份，并作为经费结算依据，并作为经费结算依据（格式见附件3）</w:t>
            </w:r>
          </w:p>
        </w:tc>
        <w:tc>
          <w:tcPr>
            <w:tcW w:w="1275" w:type="dxa"/>
            <w:vAlign w:val="center"/>
          </w:tcPr>
          <w:p w14:paraId="669948B5">
            <w:pPr>
              <w:rPr>
                <w:rFonts w:ascii="宋体" w:hAnsi="宋体"/>
                <w:color w:val="auto"/>
                <w:highlight w:val="none"/>
              </w:rPr>
            </w:pPr>
          </w:p>
        </w:tc>
      </w:tr>
      <w:tr w14:paraId="192ED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1384" w:type="dxa"/>
            <w:vAlign w:val="center"/>
          </w:tcPr>
          <w:p w14:paraId="5C060903">
            <w:pPr>
              <w:rPr>
                <w:rFonts w:ascii="宋体" w:hAnsi="宋体"/>
                <w:bCs/>
                <w:color w:val="auto"/>
                <w:highlight w:val="none"/>
              </w:rPr>
            </w:pPr>
            <w:r>
              <w:rPr>
                <w:rFonts w:hint="eastAsia" w:ascii="宋体" w:hAnsi="宋体"/>
                <w:bCs/>
                <w:color w:val="auto"/>
                <w:highlight w:val="none"/>
              </w:rPr>
              <w:t>8</w:t>
            </w:r>
            <w:r>
              <w:rPr>
                <w:rFonts w:ascii="宋体" w:hAnsi="宋体"/>
                <w:bCs/>
                <w:color w:val="auto"/>
                <w:highlight w:val="none"/>
              </w:rPr>
              <w:t>.</w:t>
            </w:r>
            <w:r>
              <w:rPr>
                <w:rFonts w:hint="eastAsia" w:ascii="宋体" w:hAnsi="宋体"/>
                <w:bCs/>
                <w:color w:val="auto"/>
                <w:highlight w:val="none"/>
              </w:rPr>
              <w:t>实施方案</w:t>
            </w:r>
          </w:p>
        </w:tc>
        <w:tc>
          <w:tcPr>
            <w:tcW w:w="6523" w:type="dxa"/>
            <w:gridSpan w:val="2"/>
            <w:vAlign w:val="center"/>
          </w:tcPr>
          <w:p w14:paraId="6E94AD46">
            <w:pPr>
              <w:rPr>
                <w:rFonts w:ascii="宋体" w:hAnsi="宋体"/>
                <w:bCs/>
                <w:color w:val="auto"/>
                <w:highlight w:val="none"/>
              </w:rPr>
            </w:pPr>
            <w:r>
              <w:rPr>
                <w:rFonts w:hint="eastAsia" w:ascii="宋体" w:hAnsi="宋体"/>
                <w:bCs/>
                <w:color w:val="auto"/>
                <w:highlight w:val="none"/>
              </w:rPr>
              <w:t>提供孤独症残疾儿童基本康复训练服务的具体实施方案一份</w:t>
            </w:r>
          </w:p>
        </w:tc>
        <w:tc>
          <w:tcPr>
            <w:tcW w:w="1275" w:type="dxa"/>
            <w:vAlign w:val="center"/>
          </w:tcPr>
          <w:p w14:paraId="58C859ED">
            <w:pPr>
              <w:rPr>
                <w:rFonts w:ascii="宋体" w:hAnsi="宋体"/>
                <w:color w:val="auto"/>
                <w:highlight w:val="none"/>
              </w:rPr>
            </w:pPr>
          </w:p>
        </w:tc>
      </w:tr>
    </w:tbl>
    <w:p w14:paraId="34113F21">
      <w:pPr>
        <w:rPr>
          <w:b/>
          <w:bCs/>
          <w:color w:val="auto"/>
          <w:sz w:val="24"/>
          <w:szCs w:val="24"/>
          <w:highlight w:val="none"/>
        </w:rPr>
      </w:pPr>
      <w:r>
        <w:rPr>
          <w:rFonts w:hint="eastAsia"/>
          <w:b/>
          <w:bCs/>
          <w:color w:val="auto"/>
          <w:sz w:val="24"/>
          <w:szCs w:val="24"/>
          <w:highlight w:val="none"/>
        </w:rPr>
        <w:t>法定代表人或法定代表人授权代表签字或盖章：</w:t>
      </w:r>
    </w:p>
    <w:p w14:paraId="2BA53861">
      <w:pPr>
        <w:rPr>
          <w:color w:val="auto"/>
          <w:sz w:val="24"/>
          <w:szCs w:val="24"/>
          <w:highlight w:val="none"/>
        </w:rPr>
      </w:pPr>
      <w:r>
        <w:rPr>
          <w:rFonts w:hint="eastAsia"/>
          <w:color w:val="auto"/>
          <w:sz w:val="24"/>
          <w:szCs w:val="24"/>
          <w:highlight w:val="none"/>
        </w:rPr>
        <w:t>注：①采购包五所需的场地、设备、人员可与采购包四共用。②其余资料可自行添加至此表，</w:t>
      </w:r>
      <w:r>
        <w:rPr>
          <w:color w:val="auto"/>
          <w:sz w:val="24"/>
          <w:szCs w:val="24"/>
          <w:highlight w:val="none"/>
        </w:rPr>
        <w:t>证明材料附在本表后</w:t>
      </w:r>
      <w:r>
        <w:rPr>
          <w:rFonts w:hint="eastAsia"/>
          <w:color w:val="auto"/>
          <w:sz w:val="24"/>
          <w:szCs w:val="24"/>
          <w:highlight w:val="none"/>
        </w:rPr>
        <w:t>。</w:t>
      </w:r>
    </w:p>
    <w:p w14:paraId="38E96206">
      <w:pPr>
        <w:rPr>
          <w:color w:val="auto"/>
          <w:sz w:val="24"/>
          <w:szCs w:val="24"/>
          <w:highlight w:val="none"/>
        </w:rPr>
        <w:sectPr>
          <w:headerReference r:id="rId3" w:type="default"/>
          <w:footerReference r:id="rId4" w:type="default"/>
          <w:footerReference r:id="rId5" w:type="even"/>
          <w:pgSz w:w="11906" w:h="16838"/>
          <w:pgMar w:top="1418" w:right="1588" w:bottom="1418" w:left="1365" w:header="851" w:footer="907" w:gutter="0"/>
          <w:cols w:space="720" w:num="1"/>
          <w:titlePg/>
          <w:docGrid w:linePitch="360" w:charSpace="0"/>
        </w:sectPr>
      </w:pPr>
    </w:p>
    <w:p w14:paraId="6772781A">
      <w:pPr>
        <w:overflowPunct w:val="0"/>
        <w:topLinePunct/>
        <w:spacing w:line="520" w:lineRule="exact"/>
        <w:rPr>
          <w:rFonts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附件1：</w:t>
      </w:r>
    </w:p>
    <w:p w14:paraId="5C8F5BE6">
      <w:pPr>
        <w:overflowPunct w:val="0"/>
        <w:topLinePunct/>
        <w:jc w:val="center"/>
        <w:rPr>
          <w:rFonts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项目人员配置清单（样表）</w:t>
      </w:r>
    </w:p>
    <w:p w14:paraId="0E16DA4B">
      <w:pPr>
        <w:overflowPunct w:val="0"/>
        <w:topLinePunct/>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机构名称：</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1"/>
        <w:gridCol w:w="893"/>
        <w:gridCol w:w="2372"/>
        <w:gridCol w:w="1530"/>
        <w:gridCol w:w="1018"/>
        <w:gridCol w:w="1149"/>
        <w:gridCol w:w="1155"/>
        <w:gridCol w:w="1300"/>
        <w:gridCol w:w="1590"/>
        <w:gridCol w:w="1394"/>
        <w:gridCol w:w="1126"/>
      </w:tblGrid>
      <w:tr w14:paraId="185A9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243" w:type="pct"/>
            <w:vAlign w:val="center"/>
          </w:tcPr>
          <w:p w14:paraId="1EA0AC20">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序号</w:t>
            </w:r>
          </w:p>
        </w:tc>
        <w:tc>
          <w:tcPr>
            <w:tcW w:w="314" w:type="pct"/>
            <w:vAlign w:val="center"/>
          </w:tcPr>
          <w:p w14:paraId="3100BD86">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姓名</w:t>
            </w:r>
          </w:p>
        </w:tc>
        <w:tc>
          <w:tcPr>
            <w:tcW w:w="834" w:type="pct"/>
            <w:vAlign w:val="center"/>
          </w:tcPr>
          <w:p w14:paraId="3717E401">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身份证号</w:t>
            </w:r>
          </w:p>
        </w:tc>
        <w:tc>
          <w:tcPr>
            <w:tcW w:w="538" w:type="pct"/>
            <w:vAlign w:val="center"/>
          </w:tcPr>
          <w:p w14:paraId="444EABF4">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毕业院校</w:t>
            </w:r>
          </w:p>
        </w:tc>
        <w:tc>
          <w:tcPr>
            <w:tcW w:w="358" w:type="pct"/>
            <w:vAlign w:val="center"/>
          </w:tcPr>
          <w:p w14:paraId="580776DD">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学历</w:t>
            </w:r>
          </w:p>
        </w:tc>
        <w:tc>
          <w:tcPr>
            <w:tcW w:w="404" w:type="pct"/>
            <w:vAlign w:val="center"/>
          </w:tcPr>
          <w:p w14:paraId="06602B9A">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专业</w:t>
            </w:r>
          </w:p>
        </w:tc>
        <w:tc>
          <w:tcPr>
            <w:tcW w:w="406" w:type="pct"/>
            <w:vAlign w:val="center"/>
          </w:tcPr>
          <w:p w14:paraId="33CE2163">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专业技术资质</w:t>
            </w:r>
          </w:p>
        </w:tc>
        <w:tc>
          <w:tcPr>
            <w:tcW w:w="457" w:type="pct"/>
            <w:vAlign w:val="center"/>
          </w:tcPr>
          <w:p w14:paraId="28BB7134">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职称</w:t>
            </w:r>
          </w:p>
        </w:tc>
        <w:tc>
          <w:tcPr>
            <w:tcW w:w="559" w:type="pct"/>
            <w:vAlign w:val="center"/>
          </w:tcPr>
          <w:p w14:paraId="16D6E7A2">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从事本专业工作起始年月</w:t>
            </w:r>
          </w:p>
        </w:tc>
        <w:tc>
          <w:tcPr>
            <w:tcW w:w="490" w:type="pct"/>
            <w:vAlign w:val="center"/>
          </w:tcPr>
          <w:p w14:paraId="088BD1FC">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在本机构工作起始年月</w:t>
            </w:r>
          </w:p>
        </w:tc>
        <w:tc>
          <w:tcPr>
            <w:tcW w:w="396" w:type="pct"/>
            <w:vAlign w:val="center"/>
          </w:tcPr>
          <w:p w14:paraId="52D2C572">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目前担任岗位</w:t>
            </w:r>
          </w:p>
        </w:tc>
      </w:tr>
      <w:tr w14:paraId="158A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243" w:type="pct"/>
            <w:vAlign w:val="center"/>
          </w:tcPr>
          <w:p w14:paraId="7B412E38">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示例</w:t>
            </w:r>
          </w:p>
        </w:tc>
        <w:tc>
          <w:tcPr>
            <w:tcW w:w="314" w:type="pct"/>
            <w:vAlign w:val="center"/>
          </w:tcPr>
          <w:p w14:paraId="71B19A38">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张三</w:t>
            </w:r>
          </w:p>
        </w:tc>
        <w:tc>
          <w:tcPr>
            <w:tcW w:w="834" w:type="pct"/>
            <w:vAlign w:val="center"/>
          </w:tcPr>
          <w:p w14:paraId="2739B4EE">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32****************</w:t>
            </w:r>
          </w:p>
        </w:tc>
        <w:tc>
          <w:tcPr>
            <w:tcW w:w="538" w:type="pct"/>
            <w:vAlign w:val="center"/>
          </w:tcPr>
          <w:p w14:paraId="5C59B5B9">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南京医科大学</w:t>
            </w:r>
          </w:p>
        </w:tc>
        <w:tc>
          <w:tcPr>
            <w:tcW w:w="358" w:type="pct"/>
            <w:vAlign w:val="center"/>
          </w:tcPr>
          <w:p w14:paraId="35FF3E72">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硕士研究生</w:t>
            </w:r>
          </w:p>
        </w:tc>
        <w:tc>
          <w:tcPr>
            <w:tcW w:w="404" w:type="pct"/>
            <w:vAlign w:val="center"/>
          </w:tcPr>
          <w:p w14:paraId="0E7B2F62">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临床医学</w:t>
            </w:r>
          </w:p>
        </w:tc>
        <w:tc>
          <w:tcPr>
            <w:tcW w:w="406" w:type="pct"/>
            <w:vAlign w:val="center"/>
          </w:tcPr>
          <w:p w14:paraId="307D9376">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执业医师</w:t>
            </w:r>
          </w:p>
        </w:tc>
        <w:tc>
          <w:tcPr>
            <w:tcW w:w="457" w:type="pct"/>
            <w:vAlign w:val="center"/>
          </w:tcPr>
          <w:p w14:paraId="4749991D">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副主任医师</w:t>
            </w:r>
          </w:p>
        </w:tc>
        <w:tc>
          <w:tcPr>
            <w:tcW w:w="559" w:type="pct"/>
            <w:vAlign w:val="center"/>
          </w:tcPr>
          <w:p w14:paraId="5CCB4115">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2008.07</w:t>
            </w:r>
          </w:p>
        </w:tc>
        <w:tc>
          <w:tcPr>
            <w:tcW w:w="490" w:type="pct"/>
            <w:vAlign w:val="center"/>
          </w:tcPr>
          <w:p w14:paraId="51FD8DBB">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2018.07</w:t>
            </w:r>
          </w:p>
        </w:tc>
        <w:tc>
          <w:tcPr>
            <w:tcW w:w="396" w:type="pct"/>
            <w:vAlign w:val="center"/>
          </w:tcPr>
          <w:p w14:paraId="6A42071B">
            <w:pPr>
              <w:overflowPunct w:val="0"/>
              <w:topLinePunct/>
              <w:jc w:val="center"/>
              <w:rPr>
                <w:rFonts w:ascii="方正仿宋_GBK" w:hAnsi="宋体" w:eastAsia="方正仿宋_GBK" w:cs="宋体"/>
                <w:color w:val="auto"/>
                <w:highlight w:val="none"/>
              </w:rPr>
            </w:pPr>
            <w:r>
              <w:rPr>
                <w:rFonts w:ascii="方正仿宋_GBK" w:hAnsi="宋体" w:eastAsia="方正仿宋_GBK" w:cs="宋体"/>
                <w:color w:val="auto"/>
                <w:highlight w:val="none"/>
              </w:rPr>
              <w:t>业务主管</w:t>
            </w:r>
          </w:p>
        </w:tc>
      </w:tr>
      <w:tr w14:paraId="11088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243" w:type="pct"/>
            <w:vAlign w:val="center"/>
          </w:tcPr>
          <w:p w14:paraId="685A01E0">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示例</w:t>
            </w:r>
          </w:p>
        </w:tc>
        <w:tc>
          <w:tcPr>
            <w:tcW w:w="314" w:type="pct"/>
            <w:vAlign w:val="center"/>
          </w:tcPr>
          <w:p w14:paraId="6715C83D">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李四</w:t>
            </w:r>
          </w:p>
        </w:tc>
        <w:tc>
          <w:tcPr>
            <w:tcW w:w="834" w:type="pct"/>
            <w:vAlign w:val="center"/>
          </w:tcPr>
          <w:p w14:paraId="085AEA9A">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31****************</w:t>
            </w:r>
          </w:p>
        </w:tc>
        <w:tc>
          <w:tcPr>
            <w:tcW w:w="538" w:type="pct"/>
            <w:vAlign w:val="center"/>
          </w:tcPr>
          <w:p w14:paraId="7DEA98E4">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南京特殊教育师范学院</w:t>
            </w:r>
          </w:p>
        </w:tc>
        <w:tc>
          <w:tcPr>
            <w:tcW w:w="358" w:type="pct"/>
            <w:vAlign w:val="center"/>
          </w:tcPr>
          <w:p w14:paraId="4F09BC41">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本科</w:t>
            </w:r>
          </w:p>
        </w:tc>
        <w:tc>
          <w:tcPr>
            <w:tcW w:w="404" w:type="pct"/>
            <w:vAlign w:val="center"/>
          </w:tcPr>
          <w:p w14:paraId="7E1F6C04">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应用心理学</w:t>
            </w:r>
          </w:p>
        </w:tc>
        <w:tc>
          <w:tcPr>
            <w:tcW w:w="406" w:type="pct"/>
            <w:vAlign w:val="center"/>
          </w:tcPr>
          <w:p w14:paraId="0F9F7FF7">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康复治疗师</w:t>
            </w:r>
          </w:p>
        </w:tc>
        <w:tc>
          <w:tcPr>
            <w:tcW w:w="457" w:type="pct"/>
            <w:vAlign w:val="center"/>
          </w:tcPr>
          <w:p w14:paraId="0B429877">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初级</w:t>
            </w:r>
          </w:p>
        </w:tc>
        <w:tc>
          <w:tcPr>
            <w:tcW w:w="559" w:type="pct"/>
            <w:vAlign w:val="center"/>
          </w:tcPr>
          <w:p w14:paraId="59E89AA6">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2019.07</w:t>
            </w:r>
          </w:p>
        </w:tc>
        <w:tc>
          <w:tcPr>
            <w:tcW w:w="490" w:type="pct"/>
            <w:vAlign w:val="center"/>
          </w:tcPr>
          <w:p w14:paraId="7CC7FD17">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2020.06</w:t>
            </w:r>
          </w:p>
        </w:tc>
        <w:tc>
          <w:tcPr>
            <w:tcW w:w="396" w:type="pct"/>
            <w:vAlign w:val="center"/>
          </w:tcPr>
          <w:p w14:paraId="5492148F">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个训课老师</w:t>
            </w:r>
          </w:p>
        </w:tc>
      </w:tr>
      <w:tr w14:paraId="10B1B0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243" w:type="pct"/>
            <w:vAlign w:val="center"/>
          </w:tcPr>
          <w:p w14:paraId="2531D4F2">
            <w:pPr>
              <w:overflowPunct w:val="0"/>
              <w:topLinePunct/>
              <w:jc w:val="center"/>
              <w:rPr>
                <w:rFonts w:ascii="方正仿宋_GBK" w:hAnsi="宋体" w:eastAsia="方正仿宋_GBK" w:cs="宋体"/>
                <w:color w:val="auto"/>
                <w:highlight w:val="none"/>
              </w:rPr>
            </w:pPr>
          </w:p>
        </w:tc>
        <w:tc>
          <w:tcPr>
            <w:tcW w:w="314" w:type="pct"/>
            <w:vAlign w:val="center"/>
          </w:tcPr>
          <w:p w14:paraId="2CFCF4BC">
            <w:pPr>
              <w:overflowPunct w:val="0"/>
              <w:topLinePunct/>
              <w:jc w:val="center"/>
              <w:rPr>
                <w:rFonts w:ascii="方正仿宋_GBK" w:hAnsi="宋体" w:eastAsia="方正仿宋_GBK" w:cs="宋体"/>
                <w:color w:val="auto"/>
                <w:highlight w:val="none"/>
              </w:rPr>
            </w:pPr>
          </w:p>
        </w:tc>
        <w:tc>
          <w:tcPr>
            <w:tcW w:w="834" w:type="pct"/>
            <w:vAlign w:val="center"/>
          </w:tcPr>
          <w:p w14:paraId="62E1530B">
            <w:pPr>
              <w:overflowPunct w:val="0"/>
              <w:topLinePunct/>
              <w:jc w:val="center"/>
              <w:rPr>
                <w:rFonts w:ascii="方正仿宋_GBK" w:hAnsi="宋体" w:eastAsia="方正仿宋_GBK" w:cs="宋体"/>
                <w:color w:val="auto"/>
                <w:highlight w:val="none"/>
              </w:rPr>
            </w:pPr>
          </w:p>
        </w:tc>
        <w:tc>
          <w:tcPr>
            <w:tcW w:w="538" w:type="pct"/>
            <w:vAlign w:val="center"/>
          </w:tcPr>
          <w:p w14:paraId="0C7B30A7">
            <w:pPr>
              <w:overflowPunct w:val="0"/>
              <w:topLinePunct/>
              <w:jc w:val="center"/>
              <w:rPr>
                <w:rFonts w:ascii="方正仿宋_GBK" w:hAnsi="宋体" w:eastAsia="方正仿宋_GBK" w:cs="宋体"/>
                <w:color w:val="auto"/>
                <w:highlight w:val="none"/>
              </w:rPr>
            </w:pPr>
          </w:p>
        </w:tc>
        <w:tc>
          <w:tcPr>
            <w:tcW w:w="358" w:type="pct"/>
            <w:vAlign w:val="center"/>
          </w:tcPr>
          <w:p w14:paraId="334B5530">
            <w:pPr>
              <w:overflowPunct w:val="0"/>
              <w:topLinePunct/>
              <w:jc w:val="center"/>
              <w:rPr>
                <w:rFonts w:ascii="方正仿宋_GBK" w:hAnsi="宋体" w:eastAsia="方正仿宋_GBK" w:cs="宋体"/>
                <w:color w:val="auto"/>
                <w:highlight w:val="none"/>
              </w:rPr>
            </w:pPr>
          </w:p>
        </w:tc>
        <w:tc>
          <w:tcPr>
            <w:tcW w:w="404" w:type="pct"/>
            <w:vAlign w:val="center"/>
          </w:tcPr>
          <w:p w14:paraId="5BA7FF1F">
            <w:pPr>
              <w:overflowPunct w:val="0"/>
              <w:topLinePunct/>
              <w:jc w:val="center"/>
              <w:rPr>
                <w:rFonts w:ascii="方正仿宋_GBK" w:hAnsi="宋体" w:eastAsia="方正仿宋_GBK" w:cs="宋体"/>
                <w:color w:val="auto"/>
                <w:highlight w:val="none"/>
              </w:rPr>
            </w:pPr>
          </w:p>
        </w:tc>
        <w:tc>
          <w:tcPr>
            <w:tcW w:w="406" w:type="pct"/>
            <w:vAlign w:val="center"/>
          </w:tcPr>
          <w:p w14:paraId="05DE7FDA">
            <w:pPr>
              <w:overflowPunct w:val="0"/>
              <w:topLinePunct/>
              <w:jc w:val="center"/>
              <w:rPr>
                <w:rFonts w:ascii="方正仿宋_GBK" w:hAnsi="宋体" w:eastAsia="方正仿宋_GBK" w:cs="宋体"/>
                <w:color w:val="auto"/>
                <w:highlight w:val="none"/>
              </w:rPr>
            </w:pPr>
          </w:p>
        </w:tc>
        <w:tc>
          <w:tcPr>
            <w:tcW w:w="457" w:type="pct"/>
            <w:vAlign w:val="center"/>
          </w:tcPr>
          <w:p w14:paraId="3401E690">
            <w:pPr>
              <w:overflowPunct w:val="0"/>
              <w:topLinePunct/>
              <w:jc w:val="center"/>
              <w:rPr>
                <w:rFonts w:ascii="方正仿宋_GBK" w:hAnsi="宋体" w:eastAsia="方正仿宋_GBK" w:cs="宋体"/>
                <w:color w:val="auto"/>
                <w:highlight w:val="none"/>
              </w:rPr>
            </w:pPr>
          </w:p>
        </w:tc>
        <w:tc>
          <w:tcPr>
            <w:tcW w:w="559" w:type="pct"/>
            <w:vAlign w:val="center"/>
          </w:tcPr>
          <w:p w14:paraId="46E29872">
            <w:pPr>
              <w:overflowPunct w:val="0"/>
              <w:topLinePunct/>
              <w:jc w:val="center"/>
              <w:rPr>
                <w:rFonts w:ascii="方正仿宋_GBK" w:hAnsi="宋体" w:eastAsia="方正仿宋_GBK" w:cs="宋体"/>
                <w:color w:val="auto"/>
                <w:highlight w:val="none"/>
              </w:rPr>
            </w:pPr>
          </w:p>
        </w:tc>
        <w:tc>
          <w:tcPr>
            <w:tcW w:w="490" w:type="pct"/>
            <w:vAlign w:val="center"/>
          </w:tcPr>
          <w:p w14:paraId="1E34C1C1">
            <w:pPr>
              <w:overflowPunct w:val="0"/>
              <w:topLinePunct/>
              <w:jc w:val="center"/>
              <w:rPr>
                <w:rFonts w:ascii="方正仿宋_GBK" w:hAnsi="宋体" w:eastAsia="方正仿宋_GBK" w:cs="宋体"/>
                <w:color w:val="auto"/>
                <w:highlight w:val="none"/>
              </w:rPr>
            </w:pPr>
          </w:p>
        </w:tc>
        <w:tc>
          <w:tcPr>
            <w:tcW w:w="396" w:type="pct"/>
            <w:vAlign w:val="center"/>
          </w:tcPr>
          <w:p w14:paraId="79595D11">
            <w:pPr>
              <w:overflowPunct w:val="0"/>
              <w:topLinePunct/>
              <w:jc w:val="center"/>
              <w:rPr>
                <w:rFonts w:ascii="方正仿宋_GBK" w:hAnsi="宋体" w:eastAsia="方正仿宋_GBK" w:cs="宋体"/>
                <w:color w:val="auto"/>
                <w:highlight w:val="none"/>
              </w:rPr>
            </w:pPr>
          </w:p>
        </w:tc>
      </w:tr>
      <w:tr w14:paraId="3BA4F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243" w:type="pct"/>
            <w:vAlign w:val="center"/>
          </w:tcPr>
          <w:p w14:paraId="760998A6">
            <w:pPr>
              <w:overflowPunct w:val="0"/>
              <w:topLinePunct/>
              <w:jc w:val="center"/>
              <w:rPr>
                <w:rFonts w:ascii="方正仿宋_GBK" w:hAnsi="宋体" w:eastAsia="方正仿宋_GBK" w:cs="宋体"/>
                <w:color w:val="auto"/>
                <w:highlight w:val="none"/>
              </w:rPr>
            </w:pPr>
          </w:p>
        </w:tc>
        <w:tc>
          <w:tcPr>
            <w:tcW w:w="314" w:type="pct"/>
            <w:vAlign w:val="center"/>
          </w:tcPr>
          <w:p w14:paraId="2DB5D33A">
            <w:pPr>
              <w:overflowPunct w:val="0"/>
              <w:topLinePunct/>
              <w:jc w:val="center"/>
              <w:rPr>
                <w:rFonts w:ascii="方正仿宋_GBK" w:hAnsi="宋体" w:eastAsia="方正仿宋_GBK" w:cs="宋体"/>
                <w:color w:val="auto"/>
                <w:highlight w:val="none"/>
              </w:rPr>
            </w:pPr>
          </w:p>
        </w:tc>
        <w:tc>
          <w:tcPr>
            <w:tcW w:w="834" w:type="pct"/>
            <w:vAlign w:val="center"/>
          </w:tcPr>
          <w:p w14:paraId="3A38D729">
            <w:pPr>
              <w:overflowPunct w:val="0"/>
              <w:topLinePunct/>
              <w:jc w:val="center"/>
              <w:rPr>
                <w:rFonts w:ascii="方正仿宋_GBK" w:hAnsi="宋体" w:eastAsia="方正仿宋_GBK" w:cs="宋体"/>
                <w:color w:val="auto"/>
                <w:highlight w:val="none"/>
              </w:rPr>
            </w:pPr>
          </w:p>
        </w:tc>
        <w:tc>
          <w:tcPr>
            <w:tcW w:w="538" w:type="pct"/>
            <w:vAlign w:val="center"/>
          </w:tcPr>
          <w:p w14:paraId="1786B688">
            <w:pPr>
              <w:overflowPunct w:val="0"/>
              <w:topLinePunct/>
              <w:jc w:val="center"/>
              <w:rPr>
                <w:rFonts w:ascii="方正仿宋_GBK" w:hAnsi="宋体" w:eastAsia="方正仿宋_GBK" w:cs="宋体"/>
                <w:color w:val="auto"/>
                <w:highlight w:val="none"/>
              </w:rPr>
            </w:pPr>
          </w:p>
        </w:tc>
        <w:tc>
          <w:tcPr>
            <w:tcW w:w="358" w:type="pct"/>
            <w:vAlign w:val="center"/>
          </w:tcPr>
          <w:p w14:paraId="35681C0D">
            <w:pPr>
              <w:overflowPunct w:val="0"/>
              <w:topLinePunct/>
              <w:jc w:val="center"/>
              <w:rPr>
                <w:rFonts w:ascii="方正仿宋_GBK" w:hAnsi="宋体" w:eastAsia="方正仿宋_GBK" w:cs="宋体"/>
                <w:color w:val="auto"/>
                <w:highlight w:val="none"/>
              </w:rPr>
            </w:pPr>
          </w:p>
        </w:tc>
        <w:tc>
          <w:tcPr>
            <w:tcW w:w="404" w:type="pct"/>
            <w:vAlign w:val="center"/>
          </w:tcPr>
          <w:p w14:paraId="7BD6573C">
            <w:pPr>
              <w:overflowPunct w:val="0"/>
              <w:topLinePunct/>
              <w:jc w:val="center"/>
              <w:rPr>
                <w:rFonts w:ascii="方正仿宋_GBK" w:hAnsi="宋体" w:eastAsia="方正仿宋_GBK" w:cs="宋体"/>
                <w:color w:val="auto"/>
                <w:highlight w:val="none"/>
              </w:rPr>
            </w:pPr>
          </w:p>
        </w:tc>
        <w:tc>
          <w:tcPr>
            <w:tcW w:w="406" w:type="pct"/>
            <w:vAlign w:val="center"/>
          </w:tcPr>
          <w:p w14:paraId="4E4F3337">
            <w:pPr>
              <w:overflowPunct w:val="0"/>
              <w:topLinePunct/>
              <w:jc w:val="center"/>
              <w:rPr>
                <w:rFonts w:ascii="方正仿宋_GBK" w:hAnsi="宋体" w:eastAsia="方正仿宋_GBK" w:cs="宋体"/>
                <w:color w:val="auto"/>
                <w:highlight w:val="none"/>
              </w:rPr>
            </w:pPr>
          </w:p>
        </w:tc>
        <w:tc>
          <w:tcPr>
            <w:tcW w:w="457" w:type="pct"/>
            <w:vAlign w:val="center"/>
          </w:tcPr>
          <w:p w14:paraId="34055A1D">
            <w:pPr>
              <w:overflowPunct w:val="0"/>
              <w:topLinePunct/>
              <w:jc w:val="center"/>
              <w:rPr>
                <w:rFonts w:ascii="方正仿宋_GBK" w:hAnsi="宋体" w:eastAsia="方正仿宋_GBK" w:cs="宋体"/>
                <w:color w:val="auto"/>
                <w:highlight w:val="none"/>
              </w:rPr>
            </w:pPr>
          </w:p>
        </w:tc>
        <w:tc>
          <w:tcPr>
            <w:tcW w:w="559" w:type="pct"/>
            <w:vAlign w:val="center"/>
          </w:tcPr>
          <w:p w14:paraId="5284545A">
            <w:pPr>
              <w:overflowPunct w:val="0"/>
              <w:topLinePunct/>
              <w:jc w:val="center"/>
              <w:rPr>
                <w:rFonts w:ascii="方正仿宋_GBK" w:hAnsi="宋体" w:eastAsia="方正仿宋_GBK" w:cs="宋体"/>
                <w:color w:val="auto"/>
                <w:highlight w:val="none"/>
              </w:rPr>
            </w:pPr>
          </w:p>
        </w:tc>
        <w:tc>
          <w:tcPr>
            <w:tcW w:w="490" w:type="pct"/>
            <w:vAlign w:val="center"/>
          </w:tcPr>
          <w:p w14:paraId="0BE0D254">
            <w:pPr>
              <w:overflowPunct w:val="0"/>
              <w:topLinePunct/>
              <w:jc w:val="center"/>
              <w:rPr>
                <w:rFonts w:ascii="方正仿宋_GBK" w:hAnsi="宋体" w:eastAsia="方正仿宋_GBK" w:cs="宋体"/>
                <w:color w:val="auto"/>
                <w:highlight w:val="none"/>
              </w:rPr>
            </w:pPr>
          </w:p>
        </w:tc>
        <w:tc>
          <w:tcPr>
            <w:tcW w:w="396" w:type="pct"/>
            <w:vAlign w:val="center"/>
          </w:tcPr>
          <w:p w14:paraId="0B24C991">
            <w:pPr>
              <w:overflowPunct w:val="0"/>
              <w:topLinePunct/>
              <w:jc w:val="center"/>
              <w:rPr>
                <w:rFonts w:ascii="方正仿宋_GBK" w:hAnsi="宋体" w:eastAsia="方正仿宋_GBK" w:cs="宋体"/>
                <w:color w:val="auto"/>
                <w:highlight w:val="none"/>
              </w:rPr>
            </w:pPr>
          </w:p>
        </w:tc>
      </w:tr>
      <w:tr w14:paraId="28AB8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243" w:type="pct"/>
            <w:vAlign w:val="center"/>
          </w:tcPr>
          <w:p w14:paraId="046D73A5">
            <w:pPr>
              <w:overflowPunct w:val="0"/>
              <w:topLinePunct/>
              <w:jc w:val="center"/>
              <w:rPr>
                <w:rFonts w:ascii="方正仿宋_GBK" w:hAnsi="宋体" w:eastAsia="方正仿宋_GBK" w:cs="宋体"/>
                <w:color w:val="auto"/>
                <w:highlight w:val="none"/>
              </w:rPr>
            </w:pPr>
          </w:p>
        </w:tc>
        <w:tc>
          <w:tcPr>
            <w:tcW w:w="314" w:type="pct"/>
            <w:vAlign w:val="center"/>
          </w:tcPr>
          <w:p w14:paraId="0D9E1395">
            <w:pPr>
              <w:overflowPunct w:val="0"/>
              <w:topLinePunct/>
              <w:jc w:val="center"/>
              <w:rPr>
                <w:rFonts w:ascii="方正仿宋_GBK" w:hAnsi="宋体" w:eastAsia="方正仿宋_GBK" w:cs="宋体"/>
                <w:color w:val="auto"/>
                <w:highlight w:val="none"/>
              </w:rPr>
            </w:pPr>
          </w:p>
        </w:tc>
        <w:tc>
          <w:tcPr>
            <w:tcW w:w="834" w:type="pct"/>
            <w:vAlign w:val="center"/>
          </w:tcPr>
          <w:p w14:paraId="2988F894">
            <w:pPr>
              <w:overflowPunct w:val="0"/>
              <w:topLinePunct/>
              <w:jc w:val="center"/>
              <w:rPr>
                <w:rFonts w:ascii="方正仿宋_GBK" w:hAnsi="宋体" w:eastAsia="方正仿宋_GBK" w:cs="宋体"/>
                <w:color w:val="auto"/>
                <w:highlight w:val="none"/>
              </w:rPr>
            </w:pPr>
          </w:p>
        </w:tc>
        <w:tc>
          <w:tcPr>
            <w:tcW w:w="538" w:type="pct"/>
            <w:vAlign w:val="center"/>
          </w:tcPr>
          <w:p w14:paraId="661E24DD">
            <w:pPr>
              <w:overflowPunct w:val="0"/>
              <w:topLinePunct/>
              <w:jc w:val="center"/>
              <w:rPr>
                <w:rFonts w:ascii="方正仿宋_GBK" w:hAnsi="宋体" w:eastAsia="方正仿宋_GBK" w:cs="宋体"/>
                <w:color w:val="auto"/>
                <w:highlight w:val="none"/>
              </w:rPr>
            </w:pPr>
          </w:p>
        </w:tc>
        <w:tc>
          <w:tcPr>
            <w:tcW w:w="358" w:type="pct"/>
            <w:vAlign w:val="center"/>
          </w:tcPr>
          <w:p w14:paraId="670AED7D">
            <w:pPr>
              <w:overflowPunct w:val="0"/>
              <w:topLinePunct/>
              <w:jc w:val="center"/>
              <w:rPr>
                <w:rFonts w:ascii="方正仿宋_GBK" w:hAnsi="宋体" w:eastAsia="方正仿宋_GBK" w:cs="宋体"/>
                <w:color w:val="auto"/>
                <w:highlight w:val="none"/>
              </w:rPr>
            </w:pPr>
          </w:p>
        </w:tc>
        <w:tc>
          <w:tcPr>
            <w:tcW w:w="404" w:type="pct"/>
            <w:vAlign w:val="center"/>
          </w:tcPr>
          <w:p w14:paraId="309CA498">
            <w:pPr>
              <w:overflowPunct w:val="0"/>
              <w:topLinePunct/>
              <w:jc w:val="center"/>
              <w:rPr>
                <w:rFonts w:ascii="方正仿宋_GBK" w:hAnsi="宋体" w:eastAsia="方正仿宋_GBK" w:cs="宋体"/>
                <w:color w:val="auto"/>
                <w:highlight w:val="none"/>
              </w:rPr>
            </w:pPr>
          </w:p>
        </w:tc>
        <w:tc>
          <w:tcPr>
            <w:tcW w:w="406" w:type="pct"/>
            <w:vAlign w:val="center"/>
          </w:tcPr>
          <w:p w14:paraId="3A2BFD00">
            <w:pPr>
              <w:overflowPunct w:val="0"/>
              <w:topLinePunct/>
              <w:jc w:val="center"/>
              <w:rPr>
                <w:rFonts w:ascii="方正仿宋_GBK" w:hAnsi="宋体" w:eastAsia="方正仿宋_GBK" w:cs="宋体"/>
                <w:color w:val="auto"/>
                <w:highlight w:val="none"/>
              </w:rPr>
            </w:pPr>
          </w:p>
        </w:tc>
        <w:tc>
          <w:tcPr>
            <w:tcW w:w="457" w:type="pct"/>
            <w:vAlign w:val="center"/>
          </w:tcPr>
          <w:p w14:paraId="7B81B179">
            <w:pPr>
              <w:overflowPunct w:val="0"/>
              <w:topLinePunct/>
              <w:jc w:val="center"/>
              <w:rPr>
                <w:rFonts w:ascii="方正仿宋_GBK" w:hAnsi="宋体" w:eastAsia="方正仿宋_GBK" w:cs="宋体"/>
                <w:color w:val="auto"/>
                <w:highlight w:val="none"/>
              </w:rPr>
            </w:pPr>
          </w:p>
        </w:tc>
        <w:tc>
          <w:tcPr>
            <w:tcW w:w="559" w:type="pct"/>
            <w:vAlign w:val="center"/>
          </w:tcPr>
          <w:p w14:paraId="5F3A0D20">
            <w:pPr>
              <w:overflowPunct w:val="0"/>
              <w:topLinePunct/>
              <w:jc w:val="center"/>
              <w:rPr>
                <w:rFonts w:ascii="方正仿宋_GBK" w:hAnsi="宋体" w:eastAsia="方正仿宋_GBK" w:cs="宋体"/>
                <w:color w:val="auto"/>
                <w:highlight w:val="none"/>
              </w:rPr>
            </w:pPr>
          </w:p>
        </w:tc>
        <w:tc>
          <w:tcPr>
            <w:tcW w:w="490" w:type="pct"/>
            <w:vAlign w:val="center"/>
          </w:tcPr>
          <w:p w14:paraId="2B36CD38">
            <w:pPr>
              <w:overflowPunct w:val="0"/>
              <w:topLinePunct/>
              <w:jc w:val="center"/>
              <w:rPr>
                <w:rFonts w:ascii="方正仿宋_GBK" w:hAnsi="宋体" w:eastAsia="方正仿宋_GBK" w:cs="宋体"/>
                <w:color w:val="auto"/>
                <w:highlight w:val="none"/>
              </w:rPr>
            </w:pPr>
          </w:p>
        </w:tc>
        <w:tc>
          <w:tcPr>
            <w:tcW w:w="396" w:type="pct"/>
            <w:vAlign w:val="center"/>
          </w:tcPr>
          <w:p w14:paraId="2286E8F6">
            <w:pPr>
              <w:overflowPunct w:val="0"/>
              <w:topLinePunct/>
              <w:jc w:val="center"/>
              <w:rPr>
                <w:rFonts w:ascii="方正仿宋_GBK" w:hAnsi="宋体" w:eastAsia="方正仿宋_GBK" w:cs="宋体"/>
                <w:color w:val="auto"/>
                <w:highlight w:val="none"/>
              </w:rPr>
            </w:pPr>
          </w:p>
        </w:tc>
      </w:tr>
      <w:tr w14:paraId="1AE29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243" w:type="pct"/>
            <w:vAlign w:val="center"/>
          </w:tcPr>
          <w:p w14:paraId="37890BB1">
            <w:pPr>
              <w:overflowPunct w:val="0"/>
              <w:topLinePunct/>
              <w:jc w:val="center"/>
              <w:rPr>
                <w:rFonts w:ascii="方正仿宋_GBK" w:hAnsi="宋体" w:eastAsia="方正仿宋_GBK" w:cs="宋体"/>
                <w:color w:val="auto"/>
                <w:highlight w:val="none"/>
              </w:rPr>
            </w:pPr>
          </w:p>
        </w:tc>
        <w:tc>
          <w:tcPr>
            <w:tcW w:w="314" w:type="pct"/>
            <w:vAlign w:val="center"/>
          </w:tcPr>
          <w:p w14:paraId="075EE549">
            <w:pPr>
              <w:overflowPunct w:val="0"/>
              <w:topLinePunct/>
              <w:jc w:val="center"/>
              <w:rPr>
                <w:rFonts w:ascii="方正仿宋_GBK" w:hAnsi="宋体" w:eastAsia="方正仿宋_GBK" w:cs="宋体"/>
                <w:color w:val="auto"/>
                <w:highlight w:val="none"/>
              </w:rPr>
            </w:pPr>
          </w:p>
        </w:tc>
        <w:tc>
          <w:tcPr>
            <w:tcW w:w="834" w:type="pct"/>
            <w:vAlign w:val="center"/>
          </w:tcPr>
          <w:p w14:paraId="259A2674">
            <w:pPr>
              <w:overflowPunct w:val="0"/>
              <w:topLinePunct/>
              <w:jc w:val="center"/>
              <w:rPr>
                <w:rFonts w:ascii="方正仿宋_GBK" w:hAnsi="宋体" w:eastAsia="方正仿宋_GBK" w:cs="宋体"/>
                <w:color w:val="auto"/>
                <w:highlight w:val="none"/>
              </w:rPr>
            </w:pPr>
          </w:p>
        </w:tc>
        <w:tc>
          <w:tcPr>
            <w:tcW w:w="538" w:type="pct"/>
            <w:vAlign w:val="center"/>
          </w:tcPr>
          <w:p w14:paraId="01884312">
            <w:pPr>
              <w:overflowPunct w:val="0"/>
              <w:topLinePunct/>
              <w:jc w:val="center"/>
              <w:rPr>
                <w:rFonts w:ascii="方正仿宋_GBK" w:hAnsi="宋体" w:eastAsia="方正仿宋_GBK" w:cs="宋体"/>
                <w:color w:val="auto"/>
                <w:highlight w:val="none"/>
              </w:rPr>
            </w:pPr>
          </w:p>
        </w:tc>
        <w:tc>
          <w:tcPr>
            <w:tcW w:w="358" w:type="pct"/>
            <w:vAlign w:val="center"/>
          </w:tcPr>
          <w:p w14:paraId="7A7A25EF">
            <w:pPr>
              <w:overflowPunct w:val="0"/>
              <w:topLinePunct/>
              <w:jc w:val="center"/>
              <w:rPr>
                <w:rFonts w:ascii="方正仿宋_GBK" w:hAnsi="宋体" w:eastAsia="方正仿宋_GBK" w:cs="宋体"/>
                <w:color w:val="auto"/>
                <w:highlight w:val="none"/>
              </w:rPr>
            </w:pPr>
          </w:p>
        </w:tc>
        <w:tc>
          <w:tcPr>
            <w:tcW w:w="404" w:type="pct"/>
            <w:vAlign w:val="center"/>
          </w:tcPr>
          <w:p w14:paraId="0B1A2AFB">
            <w:pPr>
              <w:overflowPunct w:val="0"/>
              <w:topLinePunct/>
              <w:jc w:val="center"/>
              <w:rPr>
                <w:rFonts w:ascii="方正仿宋_GBK" w:hAnsi="宋体" w:eastAsia="方正仿宋_GBK" w:cs="宋体"/>
                <w:color w:val="auto"/>
                <w:highlight w:val="none"/>
              </w:rPr>
            </w:pPr>
          </w:p>
        </w:tc>
        <w:tc>
          <w:tcPr>
            <w:tcW w:w="406" w:type="pct"/>
            <w:vAlign w:val="center"/>
          </w:tcPr>
          <w:p w14:paraId="7D317072">
            <w:pPr>
              <w:overflowPunct w:val="0"/>
              <w:topLinePunct/>
              <w:jc w:val="center"/>
              <w:rPr>
                <w:rFonts w:ascii="方正仿宋_GBK" w:hAnsi="宋体" w:eastAsia="方正仿宋_GBK" w:cs="宋体"/>
                <w:color w:val="auto"/>
                <w:highlight w:val="none"/>
              </w:rPr>
            </w:pPr>
          </w:p>
        </w:tc>
        <w:tc>
          <w:tcPr>
            <w:tcW w:w="457" w:type="pct"/>
            <w:vAlign w:val="center"/>
          </w:tcPr>
          <w:p w14:paraId="17AEBED6">
            <w:pPr>
              <w:overflowPunct w:val="0"/>
              <w:topLinePunct/>
              <w:jc w:val="center"/>
              <w:rPr>
                <w:rFonts w:ascii="方正仿宋_GBK" w:hAnsi="宋体" w:eastAsia="方正仿宋_GBK" w:cs="宋体"/>
                <w:color w:val="auto"/>
                <w:highlight w:val="none"/>
              </w:rPr>
            </w:pPr>
          </w:p>
        </w:tc>
        <w:tc>
          <w:tcPr>
            <w:tcW w:w="559" w:type="pct"/>
            <w:vAlign w:val="center"/>
          </w:tcPr>
          <w:p w14:paraId="72BB6F89">
            <w:pPr>
              <w:overflowPunct w:val="0"/>
              <w:topLinePunct/>
              <w:jc w:val="center"/>
              <w:rPr>
                <w:rFonts w:ascii="方正仿宋_GBK" w:hAnsi="宋体" w:eastAsia="方正仿宋_GBK" w:cs="宋体"/>
                <w:color w:val="auto"/>
                <w:highlight w:val="none"/>
              </w:rPr>
            </w:pPr>
          </w:p>
        </w:tc>
        <w:tc>
          <w:tcPr>
            <w:tcW w:w="490" w:type="pct"/>
            <w:vAlign w:val="center"/>
          </w:tcPr>
          <w:p w14:paraId="5567268C">
            <w:pPr>
              <w:overflowPunct w:val="0"/>
              <w:topLinePunct/>
              <w:jc w:val="center"/>
              <w:rPr>
                <w:rFonts w:ascii="方正仿宋_GBK" w:hAnsi="宋体" w:eastAsia="方正仿宋_GBK" w:cs="宋体"/>
                <w:color w:val="auto"/>
                <w:highlight w:val="none"/>
              </w:rPr>
            </w:pPr>
          </w:p>
        </w:tc>
        <w:tc>
          <w:tcPr>
            <w:tcW w:w="396" w:type="pct"/>
            <w:vAlign w:val="center"/>
          </w:tcPr>
          <w:p w14:paraId="7742D483">
            <w:pPr>
              <w:overflowPunct w:val="0"/>
              <w:topLinePunct/>
              <w:jc w:val="center"/>
              <w:rPr>
                <w:rFonts w:ascii="方正仿宋_GBK" w:hAnsi="宋体" w:eastAsia="方正仿宋_GBK" w:cs="宋体"/>
                <w:color w:val="auto"/>
                <w:highlight w:val="none"/>
              </w:rPr>
            </w:pPr>
          </w:p>
        </w:tc>
      </w:tr>
    </w:tbl>
    <w:p w14:paraId="03B45BF8">
      <w:pPr>
        <w:overflowPunct w:val="0"/>
        <w:topLinePunct/>
        <w:spacing w:line="520" w:lineRule="exact"/>
        <w:rPr>
          <w:rFonts w:ascii="方正仿宋_GBK" w:hAnsi="宋体" w:eastAsia="方正仿宋_GBK" w:cs="宋体"/>
          <w:color w:val="auto"/>
          <w:sz w:val="32"/>
          <w:szCs w:val="32"/>
          <w:highlight w:val="none"/>
        </w:rPr>
      </w:pPr>
    </w:p>
    <w:p w14:paraId="2650CCB9">
      <w:pPr>
        <w:overflowPunct w:val="0"/>
        <w:topLinePunct/>
        <w:spacing w:line="520" w:lineRule="exact"/>
        <w:rPr>
          <w:rFonts w:ascii="方正仿宋_GBK" w:hAnsi="宋体" w:eastAsia="方正仿宋_GBK" w:cs="宋体"/>
          <w:color w:val="auto"/>
          <w:sz w:val="32"/>
          <w:szCs w:val="32"/>
          <w:highlight w:val="none"/>
        </w:rPr>
      </w:pPr>
    </w:p>
    <w:p w14:paraId="084967EA">
      <w:pPr>
        <w:overflowPunct w:val="0"/>
        <w:topLinePunct/>
        <w:spacing w:line="520" w:lineRule="exact"/>
        <w:rPr>
          <w:rFonts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附件2：</w:t>
      </w:r>
    </w:p>
    <w:p w14:paraId="3CD907B2">
      <w:pPr>
        <w:overflowPunct w:val="0"/>
        <w:topLinePunct/>
        <w:jc w:val="center"/>
        <w:rPr>
          <w:rFonts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在训儿童清单（样表）</w:t>
      </w:r>
    </w:p>
    <w:p w14:paraId="07B578AE">
      <w:pPr>
        <w:overflowPunct w:val="0"/>
        <w:topLinePunct/>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机构名称：</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155"/>
        <w:gridCol w:w="2888"/>
        <w:gridCol w:w="1446"/>
        <w:gridCol w:w="2168"/>
        <w:gridCol w:w="2459"/>
        <w:gridCol w:w="1714"/>
        <w:gridCol w:w="1671"/>
      </w:tblGrid>
      <w:tr w14:paraId="79486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252" w:type="pct"/>
            <w:vAlign w:val="center"/>
          </w:tcPr>
          <w:p w14:paraId="278306B5">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序号</w:t>
            </w:r>
          </w:p>
        </w:tc>
        <w:tc>
          <w:tcPr>
            <w:tcW w:w="406" w:type="pct"/>
            <w:vAlign w:val="center"/>
          </w:tcPr>
          <w:p w14:paraId="0FA37160">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儿童姓名</w:t>
            </w:r>
          </w:p>
        </w:tc>
        <w:tc>
          <w:tcPr>
            <w:tcW w:w="1015" w:type="pct"/>
            <w:vAlign w:val="center"/>
          </w:tcPr>
          <w:p w14:paraId="2BB5D1C2">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身份证号</w:t>
            </w:r>
          </w:p>
        </w:tc>
        <w:tc>
          <w:tcPr>
            <w:tcW w:w="508" w:type="pct"/>
            <w:vAlign w:val="center"/>
          </w:tcPr>
          <w:p w14:paraId="02C4CEEB">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家长姓名</w:t>
            </w:r>
          </w:p>
        </w:tc>
        <w:tc>
          <w:tcPr>
            <w:tcW w:w="762" w:type="pct"/>
            <w:vAlign w:val="center"/>
          </w:tcPr>
          <w:p w14:paraId="14532822">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联系电话</w:t>
            </w:r>
          </w:p>
        </w:tc>
        <w:tc>
          <w:tcPr>
            <w:tcW w:w="864" w:type="pct"/>
            <w:vAlign w:val="center"/>
          </w:tcPr>
          <w:p w14:paraId="093E3D67">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诊断医院</w:t>
            </w:r>
          </w:p>
        </w:tc>
        <w:tc>
          <w:tcPr>
            <w:tcW w:w="602" w:type="pct"/>
            <w:vAlign w:val="center"/>
          </w:tcPr>
          <w:p w14:paraId="4C4E05C6">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诊断名称</w:t>
            </w:r>
          </w:p>
        </w:tc>
        <w:tc>
          <w:tcPr>
            <w:tcW w:w="587" w:type="pct"/>
            <w:vAlign w:val="center"/>
          </w:tcPr>
          <w:p w14:paraId="072C5B86">
            <w:pPr>
              <w:overflowPunct w:val="0"/>
              <w:topLinePunct/>
              <w:jc w:val="center"/>
              <w:rPr>
                <w:rFonts w:ascii="方正仿宋_GBK" w:hAnsi="宋体" w:eastAsia="方正仿宋_GBK" w:cs="宋体"/>
                <w:b/>
                <w:bCs/>
                <w:color w:val="auto"/>
                <w:highlight w:val="none"/>
              </w:rPr>
            </w:pPr>
            <w:r>
              <w:rPr>
                <w:rFonts w:hint="eastAsia" w:ascii="方正仿宋_GBK" w:hAnsi="宋体" w:eastAsia="方正仿宋_GBK" w:cs="宋体"/>
                <w:b/>
                <w:bCs/>
                <w:color w:val="auto"/>
                <w:highlight w:val="none"/>
              </w:rPr>
              <w:t>在本机构训练时间</w:t>
            </w:r>
          </w:p>
        </w:tc>
      </w:tr>
      <w:tr w14:paraId="6608C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252" w:type="pct"/>
            <w:vAlign w:val="center"/>
          </w:tcPr>
          <w:p w14:paraId="05311361">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示例</w:t>
            </w:r>
          </w:p>
        </w:tc>
        <w:tc>
          <w:tcPr>
            <w:tcW w:w="406" w:type="pct"/>
            <w:vAlign w:val="center"/>
          </w:tcPr>
          <w:p w14:paraId="47408A2A">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王晓兰</w:t>
            </w:r>
          </w:p>
        </w:tc>
        <w:tc>
          <w:tcPr>
            <w:tcW w:w="1015" w:type="pct"/>
            <w:vAlign w:val="center"/>
          </w:tcPr>
          <w:p w14:paraId="20075DA2">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32****************</w:t>
            </w:r>
          </w:p>
        </w:tc>
        <w:tc>
          <w:tcPr>
            <w:tcW w:w="508" w:type="pct"/>
            <w:vAlign w:val="center"/>
          </w:tcPr>
          <w:p w14:paraId="445283FB">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王**</w:t>
            </w:r>
          </w:p>
        </w:tc>
        <w:tc>
          <w:tcPr>
            <w:tcW w:w="762" w:type="pct"/>
            <w:vAlign w:val="center"/>
          </w:tcPr>
          <w:p w14:paraId="4147717C">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138********</w:t>
            </w:r>
          </w:p>
        </w:tc>
        <w:tc>
          <w:tcPr>
            <w:tcW w:w="864" w:type="pct"/>
            <w:vAlign w:val="center"/>
          </w:tcPr>
          <w:p w14:paraId="035AE918">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无锡市儿童医院</w:t>
            </w:r>
          </w:p>
        </w:tc>
        <w:tc>
          <w:tcPr>
            <w:tcW w:w="602" w:type="pct"/>
            <w:vAlign w:val="center"/>
          </w:tcPr>
          <w:p w14:paraId="0E48349D">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孤独症</w:t>
            </w:r>
          </w:p>
        </w:tc>
        <w:tc>
          <w:tcPr>
            <w:tcW w:w="587" w:type="pct"/>
            <w:vAlign w:val="center"/>
          </w:tcPr>
          <w:p w14:paraId="6F3D98C4">
            <w:pPr>
              <w:overflowPunct w:val="0"/>
              <w:topLinePunct/>
              <w:jc w:val="center"/>
              <w:rPr>
                <w:rFonts w:ascii="方正仿宋_GBK" w:hAnsi="宋体" w:eastAsia="方正仿宋_GBK" w:cs="宋体"/>
                <w:color w:val="auto"/>
                <w:highlight w:val="none"/>
              </w:rPr>
            </w:pPr>
            <w:r>
              <w:rPr>
                <w:rFonts w:hint="eastAsia" w:ascii="方正仿宋_GBK" w:hAnsi="宋体" w:eastAsia="方正仿宋_GBK" w:cs="宋体"/>
                <w:color w:val="auto"/>
                <w:highlight w:val="none"/>
              </w:rPr>
              <w:t>2023.9至今</w:t>
            </w:r>
          </w:p>
        </w:tc>
      </w:tr>
      <w:tr w14:paraId="6A604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252" w:type="pct"/>
            <w:vAlign w:val="center"/>
          </w:tcPr>
          <w:p w14:paraId="62460A38">
            <w:pPr>
              <w:overflowPunct w:val="0"/>
              <w:topLinePunct/>
              <w:jc w:val="center"/>
              <w:rPr>
                <w:rFonts w:ascii="方正仿宋_GBK" w:hAnsi="宋体" w:eastAsia="方正仿宋_GBK" w:cs="宋体"/>
                <w:color w:val="auto"/>
                <w:highlight w:val="none"/>
              </w:rPr>
            </w:pPr>
          </w:p>
        </w:tc>
        <w:tc>
          <w:tcPr>
            <w:tcW w:w="406" w:type="pct"/>
            <w:vAlign w:val="center"/>
          </w:tcPr>
          <w:p w14:paraId="41083500">
            <w:pPr>
              <w:overflowPunct w:val="0"/>
              <w:topLinePunct/>
              <w:jc w:val="center"/>
              <w:rPr>
                <w:rFonts w:ascii="方正仿宋_GBK" w:hAnsi="宋体" w:eastAsia="方正仿宋_GBK" w:cs="宋体"/>
                <w:color w:val="auto"/>
                <w:highlight w:val="none"/>
              </w:rPr>
            </w:pPr>
          </w:p>
        </w:tc>
        <w:tc>
          <w:tcPr>
            <w:tcW w:w="1015" w:type="pct"/>
            <w:vAlign w:val="center"/>
          </w:tcPr>
          <w:p w14:paraId="7CA2D46C">
            <w:pPr>
              <w:overflowPunct w:val="0"/>
              <w:topLinePunct/>
              <w:jc w:val="center"/>
              <w:rPr>
                <w:rFonts w:ascii="方正仿宋_GBK" w:hAnsi="宋体" w:eastAsia="方正仿宋_GBK" w:cs="宋体"/>
                <w:color w:val="auto"/>
                <w:highlight w:val="none"/>
              </w:rPr>
            </w:pPr>
          </w:p>
        </w:tc>
        <w:tc>
          <w:tcPr>
            <w:tcW w:w="508" w:type="pct"/>
            <w:vAlign w:val="center"/>
          </w:tcPr>
          <w:p w14:paraId="329D609C">
            <w:pPr>
              <w:overflowPunct w:val="0"/>
              <w:topLinePunct/>
              <w:jc w:val="center"/>
              <w:rPr>
                <w:rFonts w:ascii="方正仿宋_GBK" w:hAnsi="宋体" w:eastAsia="方正仿宋_GBK" w:cs="宋体"/>
                <w:color w:val="auto"/>
                <w:highlight w:val="none"/>
              </w:rPr>
            </w:pPr>
          </w:p>
        </w:tc>
        <w:tc>
          <w:tcPr>
            <w:tcW w:w="762" w:type="pct"/>
            <w:vAlign w:val="center"/>
          </w:tcPr>
          <w:p w14:paraId="0637B31C">
            <w:pPr>
              <w:overflowPunct w:val="0"/>
              <w:topLinePunct/>
              <w:jc w:val="center"/>
              <w:rPr>
                <w:rFonts w:ascii="方正仿宋_GBK" w:hAnsi="宋体" w:eastAsia="方正仿宋_GBK" w:cs="宋体"/>
                <w:color w:val="auto"/>
                <w:highlight w:val="none"/>
              </w:rPr>
            </w:pPr>
          </w:p>
        </w:tc>
        <w:tc>
          <w:tcPr>
            <w:tcW w:w="864" w:type="pct"/>
            <w:vAlign w:val="center"/>
          </w:tcPr>
          <w:p w14:paraId="259786B1">
            <w:pPr>
              <w:overflowPunct w:val="0"/>
              <w:topLinePunct/>
              <w:jc w:val="center"/>
              <w:rPr>
                <w:rFonts w:ascii="方正仿宋_GBK" w:hAnsi="宋体" w:eastAsia="方正仿宋_GBK" w:cs="宋体"/>
                <w:color w:val="auto"/>
                <w:highlight w:val="none"/>
              </w:rPr>
            </w:pPr>
          </w:p>
        </w:tc>
        <w:tc>
          <w:tcPr>
            <w:tcW w:w="602" w:type="pct"/>
            <w:vAlign w:val="center"/>
          </w:tcPr>
          <w:p w14:paraId="11B315B7">
            <w:pPr>
              <w:overflowPunct w:val="0"/>
              <w:topLinePunct/>
              <w:jc w:val="center"/>
              <w:rPr>
                <w:rFonts w:ascii="方正仿宋_GBK" w:hAnsi="宋体" w:eastAsia="方正仿宋_GBK" w:cs="宋体"/>
                <w:color w:val="auto"/>
                <w:highlight w:val="none"/>
              </w:rPr>
            </w:pPr>
          </w:p>
        </w:tc>
        <w:tc>
          <w:tcPr>
            <w:tcW w:w="587" w:type="pct"/>
            <w:vAlign w:val="center"/>
          </w:tcPr>
          <w:p w14:paraId="47AFAE00">
            <w:pPr>
              <w:overflowPunct w:val="0"/>
              <w:topLinePunct/>
              <w:jc w:val="center"/>
              <w:rPr>
                <w:rFonts w:ascii="方正仿宋_GBK" w:hAnsi="宋体" w:eastAsia="方正仿宋_GBK" w:cs="宋体"/>
                <w:color w:val="auto"/>
                <w:highlight w:val="none"/>
              </w:rPr>
            </w:pPr>
          </w:p>
        </w:tc>
      </w:tr>
      <w:tr w14:paraId="24226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exact"/>
        </w:trPr>
        <w:tc>
          <w:tcPr>
            <w:tcW w:w="252" w:type="pct"/>
            <w:vAlign w:val="center"/>
          </w:tcPr>
          <w:p w14:paraId="0B764321">
            <w:pPr>
              <w:overflowPunct w:val="0"/>
              <w:topLinePunct/>
              <w:jc w:val="center"/>
              <w:rPr>
                <w:rFonts w:ascii="方正仿宋_GBK" w:hAnsi="宋体" w:eastAsia="方正仿宋_GBK" w:cs="宋体"/>
                <w:color w:val="auto"/>
                <w:highlight w:val="none"/>
              </w:rPr>
            </w:pPr>
          </w:p>
        </w:tc>
        <w:tc>
          <w:tcPr>
            <w:tcW w:w="406" w:type="pct"/>
            <w:vAlign w:val="center"/>
          </w:tcPr>
          <w:p w14:paraId="32FB4082">
            <w:pPr>
              <w:overflowPunct w:val="0"/>
              <w:topLinePunct/>
              <w:jc w:val="center"/>
              <w:rPr>
                <w:rFonts w:ascii="方正仿宋_GBK" w:hAnsi="宋体" w:eastAsia="方正仿宋_GBK" w:cs="宋体"/>
                <w:color w:val="auto"/>
                <w:highlight w:val="none"/>
              </w:rPr>
            </w:pPr>
          </w:p>
        </w:tc>
        <w:tc>
          <w:tcPr>
            <w:tcW w:w="1015" w:type="pct"/>
            <w:vAlign w:val="center"/>
          </w:tcPr>
          <w:p w14:paraId="4D189932">
            <w:pPr>
              <w:overflowPunct w:val="0"/>
              <w:topLinePunct/>
              <w:jc w:val="center"/>
              <w:rPr>
                <w:rFonts w:ascii="方正仿宋_GBK" w:hAnsi="宋体" w:eastAsia="方正仿宋_GBK" w:cs="宋体"/>
                <w:color w:val="auto"/>
                <w:highlight w:val="none"/>
              </w:rPr>
            </w:pPr>
          </w:p>
        </w:tc>
        <w:tc>
          <w:tcPr>
            <w:tcW w:w="508" w:type="pct"/>
            <w:vAlign w:val="center"/>
          </w:tcPr>
          <w:p w14:paraId="029E9454">
            <w:pPr>
              <w:overflowPunct w:val="0"/>
              <w:topLinePunct/>
              <w:jc w:val="center"/>
              <w:rPr>
                <w:rFonts w:ascii="方正仿宋_GBK" w:hAnsi="宋体" w:eastAsia="方正仿宋_GBK" w:cs="宋体"/>
                <w:color w:val="auto"/>
                <w:highlight w:val="none"/>
              </w:rPr>
            </w:pPr>
          </w:p>
        </w:tc>
        <w:tc>
          <w:tcPr>
            <w:tcW w:w="762" w:type="pct"/>
            <w:vAlign w:val="center"/>
          </w:tcPr>
          <w:p w14:paraId="385F68A6">
            <w:pPr>
              <w:overflowPunct w:val="0"/>
              <w:topLinePunct/>
              <w:jc w:val="center"/>
              <w:rPr>
                <w:rFonts w:ascii="方正仿宋_GBK" w:hAnsi="宋体" w:eastAsia="方正仿宋_GBK" w:cs="宋体"/>
                <w:color w:val="auto"/>
                <w:highlight w:val="none"/>
              </w:rPr>
            </w:pPr>
          </w:p>
        </w:tc>
        <w:tc>
          <w:tcPr>
            <w:tcW w:w="864" w:type="pct"/>
            <w:vAlign w:val="center"/>
          </w:tcPr>
          <w:p w14:paraId="6B64312A">
            <w:pPr>
              <w:overflowPunct w:val="0"/>
              <w:topLinePunct/>
              <w:jc w:val="center"/>
              <w:rPr>
                <w:rFonts w:ascii="方正仿宋_GBK" w:hAnsi="宋体" w:eastAsia="方正仿宋_GBK" w:cs="宋体"/>
                <w:color w:val="auto"/>
                <w:highlight w:val="none"/>
              </w:rPr>
            </w:pPr>
          </w:p>
        </w:tc>
        <w:tc>
          <w:tcPr>
            <w:tcW w:w="602" w:type="pct"/>
            <w:vAlign w:val="center"/>
          </w:tcPr>
          <w:p w14:paraId="1C357197">
            <w:pPr>
              <w:overflowPunct w:val="0"/>
              <w:topLinePunct/>
              <w:jc w:val="center"/>
              <w:rPr>
                <w:rFonts w:ascii="方正仿宋_GBK" w:hAnsi="宋体" w:eastAsia="方正仿宋_GBK" w:cs="宋体"/>
                <w:color w:val="auto"/>
                <w:highlight w:val="none"/>
              </w:rPr>
            </w:pPr>
          </w:p>
        </w:tc>
        <w:tc>
          <w:tcPr>
            <w:tcW w:w="587" w:type="pct"/>
            <w:vAlign w:val="center"/>
          </w:tcPr>
          <w:p w14:paraId="7BE47303">
            <w:pPr>
              <w:overflowPunct w:val="0"/>
              <w:topLinePunct/>
              <w:jc w:val="center"/>
              <w:rPr>
                <w:rFonts w:ascii="方正仿宋_GBK" w:hAnsi="宋体" w:eastAsia="方正仿宋_GBK" w:cs="宋体"/>
                <w:color w:val="auto"/>
                <w:highlight w:val="none"/>
              </w:rPr>
            </w:pPr>
          </w:p>
        </w:tc>
      </w:tr>
    </w:tbl>
    <w:p w14:paraId="01D625E1">
      <w:pPr>
        <w:overflowPunct w:val="0"/>
        <w:topLinePunct/>
        <w:spacing w:line="520" w:lineRule="exact"/>
        <w:rPr>
          <w:rFonts w:ascii="方正仿宋_GBK" w:hAnsi="宋体" w:eastAsia="方正仿宋_GBK" w:cs="宋体"/>
          <w:color w:val="auto"/>
          <w:sz w:val="32"/>
          <w:szCs w:val="32"/>
          <w:highlight w:val="none"/>
        </w:rPr>
      </w:pPr>
    </w:p>
    <w:p w14:paraId="70D3B89B">
      <w:pPr>
        <w:overflowPunct w:val="0"/>
        <w:topLinePunct/>
        <w:spacing w:line="520" w:lineRule="exact"/>
        <w:rPr>
          <w:rFonts w:ascii="方正仿宋_GBK" w:hAnsi="宋体" w:eastAsia="方正仿宋_GBK" w:cs="宋体"/>
          <w:color w:val="auto"/>
          <w:sz w:val="32"/>
          <w:szCs w:val="32"/>
          <w:highlight w:val="none"/>
        </w:rPr>
      </w:pPr>
    </w:p>
    <w:p w14:paraId="6D5EFCC9">
      <w:pPr>
        <w:overflowPunct w:val="0"/>
        <w:topLinePunct/>
        <w:spacing w:line="520" w:lineRule="exact"/>
        <w:rPr>
          <w:rFonts w:ascii="方正仿宋_GBK" w:hAnsi="宋体" w:eastAsia="方正仿宋_GBK" w:cs="宋体"/>
          <w:color w:val="auto"/>
          <w:sz w:val="32"/>
          <w:szCs w:val="32"/>
          <w:highlight w:val="none"/>
        </w:rPr>
      </w:pPr>
    </w:p>
    <w:p w14:paraId="0F5F29EB">
      <w:pPr>
        <w:overflowPunct w:val="0"/>
        <w:topLinePunct/>
        <w:spacing w:line="520" w:lineRule="exact"/>
        <w:rPr>
          <w:rFonts w:ascii="方正仿宋_GBK" w:hAnsi="宋体" w:eastAsia="方正仿宋_GBK" w:cs="宋体"/>
          <w:color w:val="auto"/>
          <w:sz w:val="32"/>
          <w:szCs w:val="32"/>
          <w:highlight w:val="none"/>
        </w:rPr>
      </w:pPr>
    </w:p>
    <w:p w14:paraId="41F76DF7">
      <w:pPr>
        <w:overflowPunct w:val="0"/>
        <w:topLinePunct/>
        <w:spacing w:line="520" w:lineRule="exact"/>
        <w:rPr>
          <w:rFonts w:ascii="方正仿宋_GBK" w:hAnsi="宋体" w:eastAsia="方正仿宋_GBK" w:cs="宋体"/>
          <w:color w:val="auto"/>
          <w:sz w:val="32"/>
          <w:szCs w:val="32"/>
          <w:highlight w:val="none"/>
        </w:rPr>
      </w:pPr>
    </w:p>
    <w:p w14:paraId="0C1C642A">
      <w:pPr>
        <w:overflowPunct w:val="0"/>
        <w:topLinePunct/>
        <w:spacing w:line="520" w:lineRule="exact"/>
        <w:rPr>
          <w:rFonts w:ascii="方正仿宋_GBK" w:hAnsi="宋体" w:eastAsia="方正仿宋_GBK" w:cs="宋体"/>
          <w:color w:val="auto"/>
          <w:sz w:val="32"/>
          <w:szCs w:val="32"/>
          <w:highlight w:val="none"/>
        </w:rPr>
      </w:pPr>
    </w:p>
    <w:p w14:paraId="4ECF75A9">
      <w:pPr>
        <w:overflowPunct w:val="0"/>
        <w:topLinePunct/>
        <w:spacing w:line="520" w:lineRule="exact"/>
        <w:rPr>
          <w:rFonts w:ascii="方正仿宋_GBK" w:hAnsi="宋体" w:eastAsia="方正仿宋_GBK" w:cs="宋体"/>
          <w:color w:val="auto"/>
          <w:sz w:val="32"/>
          <w:szCs w:val="32"/>
          <w:highlight w:val="none"/>
        </w:rPr>
      </w:pPr>
    </w:p>
    <w:p w14:paraId="24088378">
      <w:pPr>
        <w:overflowPunct w:val="0"/>
        <w:topLinePunct/>
        <w:spacing w:line="520" w:lineRule="exact"/>
        <w:rPr>
          <w:rFonts w:ascii="方正仿宋_GBK" w:hAnsi="宋体" w:eastAsia="方正仿宋_GBK" w:cs="宋体"/>
          <w:color w:val="auto"/>
          <w:sz w:val="32"/>
          <w:szCs w:val="32"/>
          <w:highlight w:val="none"/>
        </w:rPr>
      </w:pPr>
      <w:r>
        <w:rPr>
          <w:rFonts w:hint="eastAsia" w:ascii="方正仿宋_GBK" w:hAnsi="宋体" w:eastAsia="方正仿宋_GBK" w:cs="宋体"/>
          <w:color w:val="auto"/>
          <w:sz w:val="32"/>
          <w:szCs w:val="32"/>
          <w:highlight w:val="none"/>
        </w:rPr>
        <w:t>附件3：</w:t>
      </w:r>
    </w:p>
    <w:p w14:paraId="1193B36A">
      <w:pPr>
        <w:overflowPunct w:val="0"/>
        <w:topLinePunct/>
        <w:jc w:val="center"/>
        <w:rPr>
          <w:rFonts w:ascii="方正小标宋_GBK" w:hAnsi="宋体" w:eastAsia="方正小标宋_GBK" w:cs="宋体"/>
          <w:color w:val="auto"/>
          <w:sz w:val="44"/>
          <w:szCs w:val="44"/>
          <w:highlight w:val="none"/>
        </w:rPr>
      </w:pPr>
      <w:r>
        <w:rPr>
          <w:rFonts w:hint="eastAsia" w:ascii="方正小标宋_GBK" w:hAnsi="宋体" w:eastAsia="方正小标宋_GBK" w:cs="宋体"/>
          <w:color w:val="auto"/>
          <w:sz w:val="44"/>
          <w:szCs w:val="44"/>
          <w:highlight w:val="none"/>
        </w:rPr>
        <w:t>_____类康复项目收费价目表（样表）</w:t>
      </w:r>
    </w:p>
    <w:p w14:paraId="5EB019A0">
      <w:pPr>
        <w:overflowPunct w:val="0"/>
        <w:topLinePunct/>
        <w:rPr>
          <w:rFonts w:ascii="方正仿宋_GBK" w:hAnsi="宋体" w:eastAsia="方正仿宋_GBK" w:cs="宋体"/>
          <w:color w:val="auto"/>
          <w:sz w:val="24"/>
          <w:szCs w:val="24"/>
          <w:highlight w:val="none"/>
        </w:rPr>
      </w:pPr>
      <w:r>
        <w:rPr>
          <w:rFonts w:hint="eastAsia" w:ascii="方正仿宋_GBK" w:hAnsi="宋体" w:eastAsia="方正仿宋_GBK" w:cs="宋体"/>
          <w:color w:val="auto"/>
          <w:sz w:val="24"/>
          <w:szCs w:val="24"/>
          <w:highlight w:val="none"/>
        </w:rPr>
        <w:t>机构名称：</w:t>
      </w:r>
    </w:p>
    <w:tbl>
      <w:tblPr>
        <w:tblStyle w:val="4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1"/>
        <w:gridCol w:w="2602"/>
        <w:gridCol w:w="4189"/>
        <w:gridCol w:w="1447"/>
        <w:gridCol w:w="1300"/>
        <w:gridCol w:w="3819"/>
      </w:tblGrid>
      <w:tr w14:paraId="42577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303" w:type="pct"/>
            <w:vAlign w:val="center"/>
          </w:tcPr>
          <w:p w14:paraId="7D2DEFAA">
            <w:pPr>
              <w:jc w:val="center"/>
              <w:rPr>
                <w:rFonts w:ascii="方正仿宋_GBK" w:eastAsia="方正仿宋_GBK"/>
                <w:b/>
                <w:bCs/>
                <w:color w:val="auto"/>
                <w:highlight w:val="none"/>
              </w:rPr>
            </w:pPr>
            <w:r>
              <w:rPr>
                <w:rFonts w:hint="eastAsia" w:ascii="方正仿宋_GBK" w:hAnsi="宋体" w:eastAsia="方正仿宋_GBK" w:cs="宋体"/>
                <w:b/>
                <w:bCs/>
                <w:color w:val="auto"/>
                <w:highlight w:val="none"/>
              </w:rPr>
              <w:t>序号</w:t>
            </w:r>
          </w:p>
        </w:tc>
        <w:tc>
          <w:tcPr>
            <w:tcW w:w="915" w:type="pct"/>
            <w:vAlign w:val="center"/>
          </w:tcPr>
          <w:p w14:paraId="3CBE2349">
            <w:pPr>
              <w:jc w:val="center"/>
              <w:rPr>
                <w:rFonts w:ascii="方正仿宋_GBK" w:eastAsia="方正仿宋_GBK"/>
                <w:b/>
                <w:bCs/>
                <w:color w:val="auto"/>
                <w:highlight w:val="none"/>
              </w:rPr>
            </w:pPr>
            <w:r>
              <w:rPr>
                <w:rFonts w:hint="eastAsia" w:ascii="方正仿宋_GBK" w:eastAsia="方正仿宋_GBK"/>
                <w:b/>
                <w:bCs/>
                <w:color w:val="auto"/>
                <w:highlight w:val="none"/>
              </w:rPr>
              <w:t>项目名称</w:t>
            </w:r>
          </w:p>
        </w:tc>
        <w:tc>
          <w:tcPr>
            <w:tcW w:w="1473" w:type="pct"/>
            <w:vAlign w:val="center"/>
          </w:tcPr>
          <w:p w14:paraId="3B15CE94">
            <w:pPr>
              <w:jc w:val="center"/>
              <w:rPr>
                <w:rFonts w:ascii="方正仿宋_GBK" w:eastAsia="方正仿宋_GBK"/>
                <w:b/>
                <w:bCs/>
                <w:color w:val="auto"/>
                <w:highlight w:val="none"/>
              </w:rPr>
            </w:pPr>
            <w:r>
              <w:rPr>
                <w:rFonts w:hint="eastAsia" w:ascii="方正仿宋_GBK" w:eastAsia="方正仿宋_GBK"/>
                <w:b/>
                <w:bCs/>
                <w:color w:val="auto"/>
                <w:highlight w:val="none"/>
              </w:rPr>
              <w:t>项目内涵</w:t>
            </w:r>
          </w:p>
        </w:tc>
        <w:tc>
          <w:tcPr>
            <w:tcW w:w="509" w:type="pct"/>
            <w:vAlign w:val="center"/>
          </w:tcPr>
          <w:p w14:paraId="3AFA0837">
            <w:pPr>
              <w:jc w:val="center"/>
              <w:rPr>
                <w:rFonts w:ascii="方正仿宋_GBK" w:eastAsia="方正仿宋_GBK"/>
                <w:b/>
                <w:bCs/>
                <w:color w:val="auto"/>
                <w:highlight w:val="none"/>
              </w:rPr>
            </w:pPr>
            <w:r>
              <w:rPr>
                <w:rFonts w:hint="eastAsia" w:ascii="方正仿宋_GBK" w:eastAsia="方正仿宋_GBK"/>
                <w:b/>
                <w:bCs/>
                <w:color w:val="auto"/>
                <w:highlight w:val="none"/>
              </w:rPr>
              <w:t>计价单位</w:t>
            </w:r>
          </w:p>
        </w:tc>
        <w:tc>
          <w:tcPr>
            <w:tcW w:w="457" w:type="pct"/>
            <w:vAlign w:val="center"/>
          </w:tcPr>
          <w:p w14:paraId="4AD187BD">
            <w:pPr>
              <w:jc w:val="center"/>
              <w:rPr>
                <w:rFonts w:ascii="方正仿宋_GBK" w:eastAsia="方正仿宋_GBK"/>
                <w:b/>
                <w:bCs/>
                <w:color w:val="auto"/>
                <w:highlight w:val="none"/>
              </w:rPr>
            </w:pPr>
            <w:r>
              <w:rPr>
                <w:rFonts w:hint="eastAsia" w:ascii="方正仿宋_GBK" w:eastAsia="方正仿宋_GBK"/>
                <w:b/>
                <w:bCs/>
                <w:color w:val="auto"/>
                <w:highlight w:val="none"/>
              </w:rPr>
              <w:t>价格（元）</w:t>
            </w:r>
          </w:p>
        </w:tc>
        <w:tc>
          <w:tcPr>
            <w:tcW w:w="1343" w:type="pct"/>
            <w:vAlign w:val="center"/>
          </w:tcPr>
          <w:p w14:paraId="57F0C6E5">
            <w:pPr>
              <w:jc w:val="center"/>
              <w:rPr>
                <w:rFonts w:ascii="方正仿宋_GBK" w:eastAsia="方正仿宋_GBK"/>
                <w:b/>
                <w:bCs/>
                <w:color w:val="auto"/>
                <w:highlight w:val="none"/>
              </w:rPr>
            </w:pPr>
            <w:r>
              <w:rPr>
                <w:rFonts w:hint="eastAsia" w:ascii="方正仿宋_GBK" w:eastAsia="方正仿宋_GBK"/>
                <w:b/>
                <w:bCs/>
                <w:color w:val="auto"/>
                <w:highlight w:val="none"/>
              </w:rPr>
              <w:t>说明</w:t>
            </w:r>
          </w:p>
        </w:tc>
      </w:tr>
      <w:tr w14:paraId="57E68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303" w:type="pct"/>
            <w:vAlign w:val="center"/>
          </w:tcPr>
          <w:p w14:paraId="3D15B615">
            <w:pPr>
              <w:rPr>
                <w:rFonts w:ascii="方正仿宋_GBK" w:eastAsia="方正仿宋_GBK"/>
                <w:color w:val="auto"/>
                <w:highlight w:val="none"/>
              </w:rPr>
            </w:pPr>
            <w:r>
              <w:rPr>
                <w:rFonts w:hint="eastAsia" w:ascii="方正仿宋_GBK" w:eastAsia="方正仿宋_GBK"/>
                <w:color w:val="auto"/>
                <w:highlight w:val="none"/>
              </w:rPr>
              <w:t>示例</w:t>
            </w:r>
          </w:p>
        </w:tc>
        <w:tc>
          <w:tcPr>
            <w:tcW w:w="915" w:type="pct"/>
            <w:vAlign w:val="center"/>
          </w:tcPr>
          <w:p w14:paraId="235F4917">
            <w:pPr>
              <w:rPr>
                <w:rFonts w:ascii="方正仿宋_GBK" w:eastAsia="方正仿宋_GBK"/>
                <w:color w:val="auto"/>
                <w:highlight w:val="none"/>
              </w:rPr>
            </w:pPr>
            <w:r>
              <w:rPr>
                <w:rFonts w:hint="eastAsia" w:ascii="方正仿宋_GBK" w:eastAsia="方正仿宋_GBK"/>
                <w:color w:val="auto"/>
                <w:highlight w:val="none"/>
              </w:rPr>
              <w:t>运动疗法</w:t>
            </w:r>
          </w:p>
        </w:tc>
        <w:tc>
          <w:tcPr>
            <w:tcW w:w="1473" w:type="pct"/>
            <w:vAlign w:val="center"/>
          </w:tcPr>
          <w:p w14:paraId="07F045F0">
            <w:pPr>
              <w:rPr>
                <w:rFonts w:ascii="方正仿宋_GBK" w:eastAsia="方正仿宋_GBK"/>
                <w:color w:val="auto"/>
                <w:highlight w:val="none"/>
              </w:rPr>
            </w:pPr>
            <w:r>
              <w:rPr>
                <w:rFonts w:hint="eastAsia" w:ascii="方正仿宋_GBK" w:eastAsia="方正仿宋_GBK"/>
                <w:color w:val="auto"/>
                <w:highlight w:val="none"/>
              </w:rPr>
              <w:t>包括全身肌力训练、各关节活动度训练、徒手体操、器械训练、步态平衡功能训练</w:t>
            </w:r>
          </w:p>
        </w:tc>
        <w:tc>
          <w:tcPr>
            <w:tcW w:w="509" w:type="pct"/>
            <w:vAlign w:val="center"/>
          </w:tcPr>
          <w:p w14:paraId="61A5002E">
            <w:pPr>
              <w:jc w:val="center"/>
              <w:rPr>
                <w:rFonts w:ascii="方正仿宋_GBK" w:eastAsia="方正仿宋_GBK"/>
                <w:color w:val="auto"/>
                <w:highlight w:val="none"/>
              </w:rPr>
            </w:pPr>
            <w:r>
              <w:rPr>
                <w:rFonts w:hint="eastAsia" w:ascii="方正仿宋_GBK" w:eastAsia="方正仿宋_GBK"/>
                <w:color w:val="auto"/>
                <w:highlight w:val="none"/>
              </w:rPr>
              <w:t>45分钟/次</w:t>
            </w:r>
          </w:p>
        </w:tc>
        <w:tc>
          <w:tcPr>
            <w:tcW w:w="457" w:type="pct"/>
            <w:vAlign w:val="center"/>
          </w:tcPr>
          <w:p w14:paraId="3D853C41">
            <w:pPr>
              <w:jc w:val="center"/>
              <w:rPr>
                <w:rFonts w:ascii="方正仿宋_GBK" w:eastAsia="方正仿宋_GBK"/>
                <w:color w:val="auto"/>
                <w:highlight w:val="none"/>
              </w:rPr>
            </w:pPr>
            <w:r>
              <w:rPr>
                <w:rFonts w:hint="eastAsia" w:ascii="方正仿宋_GBK" w:eastAsia="方正仿宋_GBK"/>
                <w:color w:val="auto"/>
                <w:highlight w:val="none"/>
              </w:rPr>
              <w:t>13</w:t>
            </w:r>
          </w:p>
        </w:tc>
        <w:tc>
          <w:tcPr>
            <w:tcW w:w="1343" w:type="pct"/>
            <w:vAlign w:val="center"/>
          </w:tcPr>
          <w:p w14:paraId="371D09F8">
            <w:pPr>
              <w:rPr>
                <w:rFonts w:ascii="方正仿宋_GBK" w:eastAsia="方正仿宋_GBK"/>
                <w:color w:val="auto"/>
                <w:highlight w:val="none"/>
              </w:rPr>
            </w:pPr>
          </w:p>
        </w:tc>
      </w:tr>
      <w:tr w14:paraId="53A0B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303" w:type="pct"/>
            <w:vAlign w:val="center"/>
          </w:tcPr>
          <w:p w14:paraId="0E04B79C">
            <w:pPr>
              <w:rPr>
                <w:rFonts w:ascii="方正仿宋_GBK" w:eastAsia="方正仿宋_GBK"/>
                <w:color w:val="auto"/>
                <w:highlight w:val="none"/>
              </w:rPr>
            </w:pPr>
            <w:r>
              <w:rPr>
                <w:rFonts w:hint="eastAsia" w:ascii="方正仿宋_GBK" w:eastAsia="方正仿宋_GBK"/>
                <w:color w:val="auto"/>
                <w:highlight w:val="none"/>
              </w:rPr>
              <w:t>示例</w:t>
            </w:r>
          </w:p>
        </w:tc>
        <w:tc>
          <w:tcPr>
            <w:tcW w:w="915" w:type="pct"/>
            <w:vAlign w:val="center"/>
          </w:tcPr>
          <w:p w14:paraId="63366C29">
            <w:pPr>
              <w:rPr>
                <w:rFonts w:ascii="方正仿宋_GBK" w:eastAsia="方正仿宋_GBK"/>
                <w:color w:val="auto"/>
                <w:highlight w:val="none"/>
              </w:rPr>
            </w:pPr>
            <w:r>
              <w:rPr>
                <w:rFonts w:hint="eastAsia" w:ascii="方正仿宋_GBK" w:eastAsia="方正仿宋_GBK"/>
                <w:color w:val="auto"/>
                <w:highlight w:val="none"/>
              </w:rPr>
              <w:t>认知知觉功能障碍训练</w:t>
            </w:r>
          </w:p>
        </w:tc>
        <w:tc>
          <w:tcPr>
            <w:tcW w:w="1473" w:type="pct"/>
            <w:vAlign w:val="center"/>
          </w:tcPr>
          <w:p w14:paraId="3608A435">
            <w:pPr>
              <w:rPr>
                <w:rFonts w:ascii="方正仿宋_GBK" w:eastAsia="方正仿宋_GBK"/>
                <w:color w:val="auto"/>
                <w:highlight w:val="none"/>
              </w:rPr>
            </w:pPr>
          </w:p>
        </w:tc>
        <w:tc>
          <w:tcPr>
            <w:tcW w:w="509" w:type="pct"/>
            <w:vAlign w:val="center"/>
          </w:tcPr>
          <w:p w14:paraId="756757F3">
            <w:pPr>
              <w:jc w:val="center"/>
              <w:rPr>
                <w:rFonts w:ascii="方正仿宋_GBK" w:eastAsia="方正仿宋_GBK"/>
                <w:color w:val="auto"/>
                <w:highlight w:val="none"/>
              </w:rPr>
            </w:pPr>
            <w:r>
              <w:rPr>
                <w:rFonts w:hint="eastAsia" w:ascii="方正仿宋_GBK" w:eastAsia="方正仿宋_GBK"/>
                <w:color w:val="auto"/>
                <w:highlight w:val="none"/>
              </w:rPr>
              <w:t>次</w:t>
            </w:r>
          </w:p>
        </w:tc>
        <w:tc>
          <w:tcPr>
            <w:tcW w:w="457" w:type="pct"/>
            <w:vAlign w:val="center"/>
          </w:tcPr>
          <w:p w14:paraId="2E37CB36">
            <w:pPr>
              <w:jc w:val="center"/>
              <w:rPr>
                <w:rFonts w:ascii="方正仿宋_GBK" w:eastAsia="方正仿宋_GBK"/>
                <w:color w:val="auto"/>
                <w:highlight w:val="none"/>
              </w:rPr>
            </w:pPr>
            <w:r>
              <w:rPr>
                <w:rFonts w:hint="eastAsia" w:ascii="方正仿宋_GBK" w:eastAsia="方正仿宋_GBK"/>
                <w:color w:val="auto"/>
                <w:highlight w:val="none"/>
              </w:rPr>
              <w:t>100</w:t>
            </w:r>
          </w:p>
        </w:tc>
        <w:tc>
          <w:tcPr>
            <w:tcW w:w="1343" w:type="pct"/>
            <w:vAlign w:val="center"/>
          </w:tcPr>
          <w:p w14:paraId="0F513C00">
            <w:pPr>
              <w:rPr>
                <w:rFonts w:ascii="方正仿宋_GBK" w:eastAsia="方正仿宋_GBK"/>
                <w:color w:val="auto"/>
                <w:highlight w:val="none"/>
              </w:rPr>
            </w:pPr>
            <w:r>
              <w:rPr>
                <w:rFonts w:hint="eastAsia" w:ascii="方正仿宋_GBK" w:eastAsia="方正仿宋_GBK"/>
                <w:color w:val="auto"/>
                <w:highlight w:val="none"/>
              </w:rPr>
              <w:t>针对有孤独症等心理发育障碍的儿童进行的治疗、训练，每次不少于30分钟</w:t>
            </w:r>
          </w:p>
        </w:tc>
      </w:tr>
      <w:tr w14:paraId="0C408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303" w:type="pct"/>
            <w:vAlign w:val="center"/>
          </w:tcPr>
          <w:p w14:paraId="54B18BC7">
            <w:pPr>
              <w:rPr>
                <w:rFonts w:ascii="方正仿宋_GBK" w:eastAsia="方正仿宋_GBK"/>
                <w:color w:val="auto"/>
                <w:highlight w:val="none"/>
              </w:rPr>
            </w:pPr>
          </w:p>
        </w:tc>
        <w:tc>
          <w:tcPr>
            <w:tcW w:w="915" w:type="pct"/>
            <w:vAlign w:val="center"/>
          </w:tcPr>
          <w:p w14:paraId="21579FEE">
            <w:pPr>
              <w:rPr>
                <w:rFonts w:ascii="方正仿宋_GBK" w:eastAsia="方正仿宋_GBK"/>
                <w:color w:val="auto"/>
                <w:highlight w:val="none"/>
              </w:rPr>
            </w:pPr>
          </w:p>
        </w:tc>
        <w:tc>
          <w:tcPr>
            <w:tcW w:w="1473" w:type="pct"/>
            <w:vAlign w:val="center"/>
          </w:tcPr>
          <w:p w14:paraId="779AA94D">
            <w:pPr>
              <w:rPr>
                <w:rFonts w:ascii="方正仿宋_GBK" w:eastAsia="方正仿宋_GBK"/>
                <w:color w:val="auto"/>
                <w:highlight w:val="none"/>
              </w:rPr>
            </w:pPr>
          </w:p>
        </w:tc>
        <w:tc>
          <w:tcPr>
            <w:tcW w:w="509" w:type="pct"/>
            <w:vAlign w:val="center"/>
          </w:tcPr>
          <w:p w14:paraId="3B49D073">
            <w:pPr>
              <w:rPr>
                <w:rFonts w:ascii="方正仿宋_GBK" w:eastAsia="方正仿宋_GBK"/>
                <w:color w:val="auto"/>
                <w:highlight w:val="none"/>
              </w:rPr>
            </w:pPr>
          </w:p>
        </w:tc>
        <w:tc>
          <w:tcPr>
            <w:tcW w:w="457" w:type="pct"/>
            <w:vAlign w:val="center"/>
          </w:tcPr>
          <w:p w14:paraId="7079BFCD">
            <w:pPr>
              <w:rPr>
                <w:rFonts w:ascii="方正仿宋_GBK" w:eastAsia="方正仿宋_GBK"/>
                <w:color w:val="auto"/>
                <w:highlight w:val="none"/>
              </w:rPr>
            </w:pPr>
          </w:p>
        </w:tc>
        <w:tc>
          <w:tcPr>
            <w:tcW w:w="1343" w:type="pct"/>
            <w:vAlign w:val="center"/>
          </w:tcPr>
          <w:p w14:paraId="6B6C0D73">
            <w:pPr>
              <w:rPr>
                <w:rFonts w:ascii="方正仿宋_GBK" w:eastAsia="方正仿宋_GBK"/>
                <w:color w:val="auto"/>
                <w:highlight w:val="none"/>
              </w:rPr>
            </w:pPr>
          </w:p>
        </w:tc>
      </w:tr>
      <w:tr w14:paraId="7E97D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303" w:type="pct"/>
            <w:vAlign w:val="center"/>
          </w:tcPr>
          <w:p w14:paraId="023850A3">
            <w:pPr>
              <w:rPr>
                <w:rFonts w:ascii="方正仿宋_GBK" w:eastAsia="方正仿宋_GBK"/>
                <w:color w:val="auto"/>
                <w:highlight w:val="none"/>
              </w:rPr>
            </w:pPr>
          </w:p>
        </w:tc>
        <w:tc>
          <w:tcPr>
            <w:tcW w:w="915" w:type="pct"/>
            <w:vAlign w:val="center"/>
          </w:tcPr>
          <w:p w14:paraId="5E30F310">
            <w:pPr>
              <w:rPr>
                <w:rFonts w:ascii="方正仿宋_GBK" w:eastAsia="方正仿宋_GBK"/>
                <w:color w:val="auto"/>
                <w:highlight w:val="none"/>
              </w:rPr>
            </w:pPr>
          </w:p>
        </w:tc>
        <w:tc>
          <w:tcPr>
            <w:tcW w:w="1473" w:type="pct"/>
            <w:vAlign w:val="center"/>
          </w:tcPr>
          <w:p w14:paraId="2E05C004">
            <w:pPr>
              <w:rPr>
                <w:rFonts w:ascii="方正仿宋_GBK" w:eastAsia="方正仿宋_GBK"/>
                <w:color w:val="auto"/>
                <w:highlight w:val="none"/>
              </w:rPr>
            </w:pPr>
          </w:p>
        </w:tc>
        <w:tc>
          <w:tcPr>
            <w:tcW w:w="509" w:type="pct"/>
            <w:vAlign w:val="center"/>
          </w:tcPr>
          <w:p w14:paraId="1AC53FF6">
            <w:pPr>
              <w:rPr>
                <w:rFonts w:ascii="方正仿宋_GBK" w:eastAsia="方正仿宋_GBK"/>
                <w:color w:val="auto"/>
                <w:highlight w:val="none"/>
              </w:rPr>
            </w:pPr>
          </w:p>
        </w:tc>
        <w:tc>
          <w:tcPr>
            <w:tcW w:w="457" w:type="pct"/>
            <w:vAlign w:val="center"/>
          </w:tcPr>
          <w:p w14:paraId="5836714B">
            <w:pPr>
              <w:rPr>
                <w:rFonts w:ascii="方正仿宋_GBK" w:eastAsia="方正仿宋_GBK"/>
                <w:color w:val="auto"/>
                <w:highlight w:val="none"/>
              </w:rPr>
            </w:pPr>
          </w:p>
        </w:tc>
        <w:tc>
          <w:tcPr>
            <w:tcW w:w="1343" w:type="pct"/>
            <w:vAlign w:val="center"/>
          </w:tcPr>
          <w:p w14:paraId="418820F8">
            <w:pPr>
              <w:rPr>
                <w:rFonts w:ascii="方正仿宋_GBK" w:eastAsia="方正仿宋_GBK"/>
                <w:color w:val="auto"/>
                <w:highlight w:val="none"/>
              </w:rPr>
            </w:pPr>
          </w:p>
        </w:tc>
      </w:tr>
      <w:tr w14:paraId="2FEA1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trPr>
        <w:tc>
          <w:tcPr>
            <w:tcW w:w="303" w:type="pct"/>
            <w:vAlign w:val="center"/>
          </w:tcPr>
          <w:p w14:paraId="407445C6">
            <w:pPr>
              <w:rPr>
                <w:rFonts w:ascii="方正仿宋_GBK" w:eastAsia="方正仿宋_GBK"/>
                <w:color w:val="auto"/>
                <w:highlight w:val="none"/>
              </w:rPr>
            </w:pPr>
          </w:p>
        </w:tc>
        <w:tc>
          <w:tcPr>
            <w:tcW w:w="915" w:type="pct"/>
            <w:vAlign w:val="center"/>
          </w:tcPr>
          <w:p w14:paraId="21B61268">
            <w:pPr>
              <w:rPr>
                <w:rFonts w:ascii="方正仿宋_GBK" w:eastAsia="方正仿宋_GBK"/>
                <w:color w:val="auto"/>
                <w:highlight w:val="none"/>
              </w:rPr>
            </w:pPr>
          </w:p>
        </w:tc>
        <w:tc>
          <w:tcPr>
            <w:tcW w:w="1473" w:type="pct"/>
            <w:vAlign w:val="center"/>
          </w:tcPr>
          <w:p w14:paraId="464F57F9">
            <w:pPr>
              <w:rPr>
                <w:rFonts w:ascii="方正仿宋_GBK" w:eastAsia="方正仿宋_GBK"/>
                <w:color w:val="auto"/>
                <w:highlight w:val="none"/>
              </w:rPr>
            </w:pPr>
          </w:p>
        </w:tc>
        <w:tc>
          <w:tcPr>
            <w:tcW w:w="509" w:type="pct"/>
            <w:vAlign w:val="center"/>
          </w:tcPr>
          <w:p w14:paraId="08F4E260">
            <w:pPr>
              <w:rPr>
                <w:rFonts w:ascii="方正仿宋_GBK" w:eastAsia="方正仿宋_GBK"/>
                <w:color w:val="auto"/>
                <w:highlight w:val="none"/>
              </w:rPr>
            </w:pPr>
          </w:p>
        </w:tc>
        <w:tc>
          <w:tcPr>
            <w:tcW w:w="457" w:type="pct"/>
            <w:vAlign w:val="center"/>
          </w:tcPr>
          <w:p w14:paraId="514D49B2">
            <w:pPr>
              <w:rPr>
                <w:rFonts w:ascii="方正仿宋_GBK" w:eastAsia="方正仿宋_GBK"/>
                <w:color w:val="auto"/>
                <w:highlight w:val="none"/>
              </w:rPr>
            </w:pPr>
          </w:p>
        </w:tc>
        <w:tc>
          <w:tcPr>
            <w:tcW w:w="1343" w:type="pct"/>
            <w:vAlign w:val="center"/>
          </w:tcPr>
          <w:p w14:paraId="727313DC">
            <w:pPr>
              <w:rPr>
                <w:rFonts w:ascii="方正仿宋_GBK" w:eastAsia="方正仿宋_GBK"/>
                <w:color w:val="auto"/>
                <w:highlight w:val="none"/>
              </w:rPr>
            </w:pPr>
          </w:p>
        </w:tc>
      </w:tr>
    </w:tbl>
    <w:p w14:paraId="6E1D118E">
      <w:pPr>
        <w:overflowPunct w:val="0"/>
        <w:topLinePunct/>
        <w:spacing w:line="520" w:lineRule="exact"/>
        <w:rPr>
          <w:rFonts w:ascii="方正仿宋_GBK" w:hAnsi="宋体" w:eastAsia="方正仿宋_GBK" w:cs="宋体"/>
          <w:color w:val="auto"/>
          <w:sz w:val="32"/>
          <w:szCs w:val="32"/>
          <w:highlight w:val="none"/>
        </w:rPr>
      </w:pPr>
    </w:p>
    <w:p w14:paraId="1D98BE8B">
      <w:pPr>
        <w:overflowPunct w:val="0"/>
        <w:topLinePunct/>
        <w:spacing w:line="520" w:lineRule="exact"/>
        <w:rPr>
          <w:rFonts w:ascii="方正仿宋_GBK" w:eastAsia="方正仿宋_GBK"/>
          <w:color w:val="auto"/>
          <w:sz w:val="32"/>
          <w:szCs w:val="32"/>
          <w:highlight w:val="none"/>
        </w:rPr>
      </w:pPr>
    </w:p>
    <w:p w14:paraId="65E891B8">
      <w:pPr>
        <w:rPr>
          <w:color w:val="auto"/>
          <w:sz w:val="24"/>
          <w:szCs w:val="24"/>
          <w:highlight w:val="none"/>
        </w:rPr>
      </w:pPr>
    </w:p>
    <w:p w14:paraId="30EDCDF4">
      <w:pPr>
        <w:rPr>
          <w:color w:val="auto"/>
          <w:sz w:val="24"/>
          <w:szCs w:val="24"/>
          <w:highlight w:val="none"/>
        </w:rPr>
      </w:pPr>
    </w:p>
    <w:sectPr>
      <w:pgSz w:w="16838" w:h="11906" w:orient="landscape"/>
      <w:pgMar w:top="1366" w:right="1418" w:bottom="1587" w:left="1418" w:header="851" w:footer="907" w:gutter="0"/>
      <w:cols w:space="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方正小标宋_GBK">
    <w:altName w:val="微软雅黑"/>
    <w:panose1 w:val="00000000000000000000"/>
    <w:charset w:val="86"/>
    <w:family w:val="script"/>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Showcard Gothic">
    <w:altName w:val="Gabriola"/>
    <w:panose1 w:val="04020904020102020604"/>
    <w:charset w:val="00"/>
    <w:family w:val="decorative"/>
    <w:pitch w:val="default"/>
    <w:sig w:usb0="00000000" w:usb1="00000000" w:usb2="00000000" w:usb3="00000000" w:csb0="00000001" w:csb1="00000000"/>
  </w:font>
  <w:font w:name="Gabriola">
    <w:panose1 w:val="04040605051002020D02"/>
    <w:charset w:val="00"/>
    <w:family w:val="auto"/>
    <w:pitch w:val="default"/>
    <w:sig w:usb0="E00002EF" w:usb1="5000204B" w:usb2="00000000" w:usb3="00000000" w:csb0="2000009F" w:csb1="00000000"/>
  </w:font>
  <w:font w:name="方正仿宋_GBK">
    <w:altName w:val="微软雅黑"/>
    <w:panose1 w:val="00000000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D53BB0">
    <w:pPr>
      <w:pStyle w:val="29"/>
      <w:framePr w:wrap="around" w:vAnchor="text" w:hAnchor="margin" w:xAlign="center" w:y="1"/>
      <w:rPr>
        <w:rStyle w:val="53"/>
        <w:rFonts w:ascii="宋体" w:hAnsi="宋体"/>
      </w:rPr>
    </w:pPr>
    <w:r>
      <w:rPr>
        <w:rFonts w:ascii="宋体" w:hAnsi="宋体"/>
      </w:rPr>
      <w:fldChar w:fldCharType="begin"/>
    </w:r>
    <w:r>
      <w:rPr>
        <w:rStyle w:val="53"/>
        <w:rFonts w:ascii="宋体" w:hAnsi="宋体"/>
      </w:rPr>
      <w:instrText xml:space="preserve">PAGE  </w:instrText>
    </w:r>
    <w:r>
      <w:rPr>
        <w:rFonts w:ascii="宋体" w:hAnsi="宋体"/>
      </w:rPr>
      <w:fldChar w:fldCharType="separate"/>
    </w:r>
    <w:r>
      <w:rPr>
        <w:rStyle w:val="53"/>
        <w:rFonts w:ascii="宋体" w:hAnsi="宋体"/>
      </w:rPr>
      <w:t>69</w:t>
    </w:r>
    <w:r>
      <w:rPr>
        <w:rFonts w:ascii="宋体" w:hAnsi="宋体"/>
      </w:rPr>
      <w:fldChar w:fldCharType="end"/>
    </w:r>
  </w:p>
  <w:p w14:paraId="1A7C6934">
    <w:pPr>
      <w:pStyle w:val="29"/>
      <w:jc w:val="center"/>
    </w:pPr>
    <w:r>
      <w:rPr>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4648F">
    <w:pPr>
      <w:pStyle w:val="29"/>
      <w:framePr w:wrap="around" w:vAnchor="text" w:hAnchor="margin" w:xAlign="center" w:y="1"/>
      <w:rPr>
        <w:rStyle w:val="53"/>
      </w:rPr>
    </w:pPr>
    <w:r>
      <w:fldChar w:fldCharType="begin"/>
    </w:r>
    <w:r>
      <w:rPr>
        <w:rStyle w:val="53"/>
      </w:rPr>
      <w:instrText xml:space="preserve">PAGE  </w:instrText>
    </w:r>
    <w:r>
      <w:fldChar w:fldCharType="separate"/>
    </w:r>
    <w:r>
      <w:rPr>
        <w:rStyle w:val="53"/>
      </w:rPr>
      <w:t>1</w:t>
    </w:r>
    <w:r>
      <w:fldChar w:fldCharType="end"/>
    </w:r>
  </w:p>
  <w:p w14:paraId="233AB58E">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3F019B">
    <w:pPr>
      <w:pStyle w:val="3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F03259"/>
    <w:multiLevelType w:val="singleLevel"/>
    <w:tmpl w:val="9AF03259"/>
    <w:lvl w:ilvl="0" w:tentative="0">
      <w:start w:val="1"/>
      <w:numFmt w:val="decimal"/>
      <w:lvlText w:val="%1."/>
      <w:lvlJc w:val="left"/>
      <w:pPr>
        <w:tabs>
          <w:tab w:val="left" w:pos="312"/>
        </w:tabs>
      </w:pPr>
    </w:lvl>
  </w:abstractNum>
  <w:abstractNum w:abstractNumId="1">
    <w:nsid w:val="051E0F3F"/>
    <w:multiLevelType w:val="multilevel"/>
    <w:tmpl w:val="051E0F3F"/>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8"/>
      <w:suff w:val="nothing"/>
      <w:lvlText w:val=""/>
      <w:lvlJc w:val="left"/>
      <w:pPr>
        <w:ind w:left="0" w:firstLine="0"/>
      </w:pPr>
      <w:rPr>
        <w:rFonts w:hint="eastAsia"/>
      </w:rPr>
    </w:lvl>
    <w:lvl w:ilvl="6" w:tentative="0">
      <w:start w:val="1"/>
      <w:numFmt w:val="decimal"/>
      <w:pStyle w:val="9"/>
      <w:suff w:val="nothing"/>
      <w:lvlText w:val=""/>
      <w:lvlJc w:val="left"/>
      <w:pPr>
        <w:ind w:left="0" w:firstLine="0"/>
      </w:pPr>
      <w:rPr>
        <w:rFonts w:hint="eastAsia"/>
      </w:rPr>
    </w:lvl>
    <w:lvl w:ilvl="7" w:tentative="0">
      <w:start w:val="1"/>
      <w:numFmt w:val="decimal"/>
      <w:pStyle w:val="10"/>
      <w:suff w:val="nothing"/>
      <w:lvlText w:val=""/>
      <w:lvlJc w:val="left"/>
      <w:pPr>
        <w:ind w:left="0" w:firstLine="0"/>
      </w:pPr>
      <w:rPr>
        <w:rFonts w:hint="eastAsia"/>
      </w:rPr>
    </w:lvl>
    <w:lvl w:ilvl="8" w:tentative="0">
      <w:start w:val="1"/>
      <w:numFmt w:val="decimal"/>
      <w:pStyle w:val="11"/>
      <w:suff w:val="nothing"/>
      <w:lvlText w:val=""/>
      <w:lvlJc w:val="left"/>
      <w:pPr>
        <w:ind w:left="0" w:firstLine="0"/>
      </w:pPr>
      <w:rPr>
        <w:rFonts w:hint="eastAsia"/>
      </w:rPr>
    </w:lvl>
  </w:abstractNum>
  <w:abstractNum w:abstractNumId="2">
    <w:nsid w:val="0FEA262E"/>
    <w:multiLevelType w:val="multilevel"/>
    <w:tmpl w:val="0FEA262E"/>
    <w:lvl w:ilvl="0" w:tentative="0">
      <w:start w:val="1"/>
      <w:numFmt w:val="decimal"/>
      <w:pStyle w:val="251"/>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12B25B45"/>
    <w:multiLevelType w:val="multilevel"/>
    <w:tmpl w:val="12B25B45"/>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1A555956"/>
    <w:multiLevelType w:val="multilevel"/>
    <w:tmpl w:val="1A555956"/>
    <w:lvl w:ilvl="0" w:tentative="0">
      <w:start w:val="1"/>
      <w:numFmt w:val="upperLetter"/>
      <w:pStyle w:val="235"/>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1EDC17A8"/>
    <w:multiLevelType w:val="multilevel"/>
    <w:tmpl w:val="1EDC17A8"/>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75179AB"/>
    <w:multiLevelType w:val="multilevel"/>
    <w:tmpl w:val="275179AB"/>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2E5833FD"/>
    <w:multiLevelType w:val="multilevel"/>
    <w:tmpl w:val="2E5833F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31096D17"/>
    <w:multiLevelType w:val="multilevel"/>
    <w:tmpl w:val="31096D17"/>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47135D12"/>
    <w:multiLevelType w:val="singleLevel"/>
    <w:tmpl w:val="47135D12"/>
    <w:lvl w:ilvl="0" w:tentative="0">
      <w:start w:val="1"/>
      <w:numFmt w:val="decimal"/>
      <w:lvlText w:val="%1."/>
      <w:lvlJc w:val="left"/>
      <w:pPr>
        <w:tabs>
          <w:tab w:val="left" w:pos="312"/>
        </w:tabs>
      </w:pPr>
    </w:lvl>
  </w:abstractNum>
  <w:abstractNum w:abstractNumId="10">
    <w:nsid w:val="5405CB38"/>
    <w:multiLevelType w:val="singleLevel"/>
    <w:tmpl w:val="5405CB38"/>
    <w:lvl w:ilvl="0" w:tentative="0">
      <w:start w:val="1"/>
      <w:numFmt w:val="decimal"/>
      <w:lvlText w:val="%1."/>
      <w:lvlJc w:val="left"/>
      <w:pPr>
        <w:tabs>
          <w:tab w:val="left" w:pos="312"/>
        </w:tabs>
      </w:pPr>
    </w:lvl>
  </w:abstractNum>
  <w:abstractNum w:abstractNumId="11">
    <w:nsid w:val="605C2A74"/>
    <w:multiLevelType w:val="singleLevel"/>
    <w:tmpl w:val="605C2A74"/>
    <w:lvl w:ilvl="0" w:tentative="0">
      <w:start w:val="1"/>
      <w:numFmt w:val="decimal"/>
      <w:lvlText w:val="%1."/>
      <w:lvlJc w:val="left"/>
      <w:pPr>
        <w:tabs>
          <w:tab w:val="left" w:pos="312"/>
        </w:tabs>
      </w:pPr>
    </w:lvl>
  </w:abstractNum>
  <w:abstractNum w:abstractNumId="12">
    <w:nsid w:val="6AD82499"/>
    <w:multiLevelType w:val="multilevel"/>
    <w:tmpl w:val="6AD8249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2"/>
  </w:num>
  <w:num w:numId="4">
    <w:abstractNumId w:val="5"/>
  </w:num>
  <w:num w:numId="5">
    <w:abstractNumId w:val="8"/>
  </w:num>
  <w:num w:numId="6">
    <w:abstractNumId w:val="12"/>
  </w:num>
  <w:num w:numId="7">
    <w:abstractNumId w:val="3"/>
  </w:num>
  <w:num w:numId="8">
    <w:abstractNumId w:val="7"/>
  </w:num>
  <w:num w:numId="9">
    <w:abstractNumId w:val="6"/>
  </w:num>
  <w:num w:numId="10">
    <w:abstractNumId w:val="10"/>
  </w:num>
  <w:num w:numId="11">
    <w:abstractNumId w:val="11"/>
  </w:num>
  <w:num w:numId="12">
    <w:abstractNumId w:val="0"/>
  </w:num>
  <w:num w:numId="13">
    <w:abstractNumId w:val="9"/>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0949"/>
    <w:rsid w:val="00021D4F"/>
    <w:rsid w:val="000229A5"/>
    <w:rsid w:val="00042F7F"/>
    <w:rsid w:val="00055A31"/>
    <w:rsid w:val="00056532"/>
    <w:rsid w:val="00061449"/>
    <w:rsid w:val="000751D1"/>
    <w:rsid w:val="00082C7B"/>
    <w:rsid w:val="00091F22"/>
    <w:rsid w:val="0009587C"/>
    <w:rsid w:val="000A1128"/>
    <w:rsid w:val="000A53A8"/>
    <w:rsid w:val="000B0F0D"/>
    <w:rsid w:val="000B1096"/>
    <w:rsid w:val="000B2FA5"/>
    <w:rsid w:val="000B6B58"/>
    <w:rsid w:val="000B7D2C"/>
    <w:rsid w:val="000C2431"/>
    <w:rsid w:val="000D5B28"/>
    <w:rsid w:val="000E5A05"/>
    <w:rsid w:val="000E7F95"/>
    <w:rsid w:val="000F38FB"/>
    <w:rsid w:val="00100E26"/>
    <w:rsid w:val="0010439A"/>
    <w:rsid w:val="0010585B"/>
    <w:rsid w:val="0011216A"/>
    <w:rsid w:val="0011514A"/>
    <w:rsid w:val="001256FC"/>
    <w:rsid w:val="001273B8"/>
    <w:rsid w:val="001311DD"/>
    <w:rsid w:val="001347B0"/>
    <w:rsid w:val="00137057"/>
    <w:rsid w:val="0014009D"/>
    <w:rsid w:val="0014191D"/>
    <w:rsid w:val="00141F10"/>
    <w:rsid w:val="00143E1A"/>
    <w:rsid w:val="00156575"/>
    <w:rsid w:val="0016001E"/>
    <w:rsid w:val="001639AB"/>
    <w:rsid w:val="001701C1"/>
    <w:rsid w:val="00171512"/>
    <w:rsid w:val="00172A27"/>
    <w:rsid w:val="00172F49"/>
    <w:rsid w:val="00174001"/>
    <w:rsid w:val="001745B4"/>
    <w:rsid w:val="00177DB1"/>
    <w:rsid w:val="00187894"/>
    <w:rsid w:val="00187D73"/>
    <w:rsid w:val="00192A31"/>
    <w:rsid w:val="00192C07"/>
    <w:rsid w:val="00193614"/>
    <w:rsid w:val="00194C2D"/>
    <w:rsid w:val="00197735"/>
    <w:rsid w:val="001B07E5"/>
    <w:rsid w:val="001B4BF5"/>
    <w:rsid w:val="001B53DB"/>
    <w:rsid w:val="001B560E"/>
    <w:rsid w:val="001B7673"/>
    <w:rsid w:val="001D0EE7"/>
    <w:rsid w:val="001D30C7"/>
    <w:rsid w:val="001D6DAB"/>
    <w:rsid w:val="001E1024"/>
    <w:rsid w:val="001E36EB"/>
    <w:rsid w:val="001F01C6"/>
    <w:rsid w:val="001F132C"/>
    <w:rsid w:val="001F1BA4"/>
    <w:rsid w:val="001F4AD9"/>
    <w:rsid w:val="00201C16"/>
    <w:rsid w:val="00202621"/>
    <w:rsid w:val="00204608"/>
    <w:rsid w:val="00212745"/>
    <w:rsid w:val="0022035F"/>
    <w:rsid w:val="00220FD8"/>
    <w:rsid w:val="00231738"/>
    <w:rsid w:val="002359D2"/>
    <w:rsid w:val="00237A6E"/>
    <w:rsid w:val="00243DDA"/>
    <w:rsid w:val="00272B14"/>
    <w:rsid w:val="00274E8D"/>
    <w:rsid w:val="00276089"/>
    <w:rsid w:val="002845BE"/>
    <w:rsid w:val="00287901"/>
    <w:rsid w:val="00293489"/>
    <w:rsid w:val="00297454"/>
    <w:rsid w:val="002A2B2C"/>
    <w:rsid w:val="002A5691"/>
    <w:rsid w:val="002A638B"/>
    <w:rsid w:val="002B65DB"/>
    <w:rsid w:val="002C13A0"/>
    <w:rsid w:val="002C13C3"/>
    <w:rsid w:val="002C54DA"/>
    <w:rsid w:val="002C7FB9"/>
    <w:rsid w:val="002D5E16"/>
    <w:rsid w:val="002E0140"/>
    <w:rsid w:val="003021F9"/>
    <w:rsid w:val="0031351E"/>
    <w:rsid w:val="003143B4"/>
    <w:rsid w:val="00314745"/>
    <w:rsid w:val="0031486D"/>
    <w:rsid w:val="003224E3"/>
    <w:rsid w:val="00325E44"/>
    <w:rsid w:val="0033304B"/>
    <w:rsid w:val="00340B7C"/>
    <w:rsid w:val="00344E08"/>
    <w:rsid w:val="00345BBB"/>
    <w:rsid w:val="0034719B"/>
    <w:rsid w:val="003520AB"/>
    <w:rsid w:val="003559AC"/>
    <w:rsid w:val="0036207A"/>
    <w:rsid w:val="00364257"/>
    <w:rsid w:val="00373532"/>
    <w:rsid w:val="00374FF2"/>
    <w:rsid w:val="00387F00"/>
    <w:rsid w:val="003908B8"/>
    <w:rsid w:val="00394772"/>
    <w:rsid w:val="003A7AA2"/>
    <w:rsid w:val="003A7D6B"/>
    <w:rsid w:val="003B41DE"/>
    <w:rsid w:val="003C69F6"/>
    <w:rsid w:val="003D5E43"/>
    <w:rsid w:val="003D71A0"/>
    <w:rsid w:val="00411574"/>
    <w:rsid w:val="00411828"/>
    <w:rsid w:val="0041210E"/>
    <w:rsid w:val="00421388"/>
    <w:rsid w:val="00424D04"/>
    <w:rsid w:val="00426369"/>
    <w:rsid w:val="00431E84"/>
    <w:rsid w:val="004326D2"/>
    <w:rsid w:val="0043342F"/>
    <w:rsid w:val="00434093"/>
    <w:rsid w:val="0044353D"/>
    <w:rsid w:val="00445651"/>
    <w:rsid w:val="00447F14"/>
    <w:rsid w:val="00462129"/>
    <w:rsid w:val="0046265C"/>
    <w:rsid w:val="004659F5"/>
    <w:rsid w:val="00473C94"/>
    <w:rsid w:val="00474E7B"/>
    <w:rsid w:val="00476E1C"/>
    <w:rsid w:val="00484D18"/>
    <w:rsid w:val="004875A6"/>
    <w:rsid w:val="00491785"/>
    <w:rsid w:val="004940F0"/>
    <w:rsid w:val="00496150"/>
    <w:rsid w:val="004B1D9C"/>
    <w:rsid w:val="004B223C"/>
    <w:rsid w:val="004B3AAC"/>
    <w:rsid w:val="004C477C"/>
    <w:rsid w:val="004C6941"/>
    <w:rsid w:val="004D44CF"/>
    <w:rsid w:val="004D757B"/>
    <w:rsid w:val="004E5BEC"/>
    <w:rsid w:val="004E5EDC"/>
    <w:rsid w:val="004F22C2"/>
    <w:rsid w:val="004F4160"/>
    <w:rsid w:val="004F5A2E"/>
    <w:rsid w:val="004F7C38"/>
    <w:rsid w:val="0050150B"/>
    <w:rsid w:val="00514076"/>
    <w:rsid w:val="0051701F"/>
    <w:rsid w:val="00520B7E"/>
    <w:rsid w:val="0052365C"/>
    <w:rsid w:val="00523CB1"/>
    <w:rsid w:val="00552907"/>
    <w:rsid w:val="00562F48"/>
    <w:rsid w:val="00567993"/>
    <w:rsid w:val="00571E4B"/>
    <w:rsid w:val="005738C2"/>
    <w:rsid w:val="00593244"/>
    <w:rsid w:val="005A1160"/>
    <w:rsid w:val="005A2FDA"/>
    <w:rsid w:val="005A5710"/>
    <w:rsid w:val="005D10D1"/>
    <w:rsid w:val="005D360C"/>
    <w:rsid w:val="005D7844"/>
    <w:rsid w:val="005F1B3F"/>
    <w:rsid w:val="006019C0"/>
    <w:rsid w:val="00603B50"/>
    <w:rsid w:val="00613C90"/>
    <w:rsid w:val="00613E63"/>
    <w:rsid w:val="006212F6"/>
    <w:rsid w:val="00630D00"/>
    <w:rsid w:val="00635C09"/>
    <w:rsid w:val="006369DB"/>
    <w:rsid w:val="00646B32"/>
    <w:rsid w:val="00653DA5"/>
    <w:rsid w:val="00664CAF"/>
    <w:rsid w:val="00670C7D"/>
    <w:rsid w:val="00677505"/>
    <w:rsid w:val="0067759B"/>
    <w:rsid w:val="00681C5B"/>
    <w:rsid w:val="00685B4D"/>
    <w:rsid w:val="00692B6A"/>
    <w:rsid w:val="00692CB1"/>
    <w:rsid w:val="00697C10"/>
    <w:rsid w:val="006A5A57"/>
    <w:rsid w:val="006B5E08"/>
    <w:rsid w:val="006C5DC9"/>
    <w:rsid w:val="006D763F"/>
    <w:rsid w:val="006F5A6C"/>
    <w:rsid w:val="00702317"/>
    <w:rsid w:val="007030E7"/>
    <w:rsid w:val="00704336"/>
    <w:rsid w:val="00707BE4"/>
    <w:rsid w:val="00713474"/>
    <w:rsid w:val="00716BD7"/>
    <w:rsid w:val="007171AE"/>
    <w:rsid w:val="007232D4"/>
    <w:rsid w:val="0073288F"/>
    <w:rsid w:val="007358AA"/>
    <w:rsid w:val="00736DFF"/>
    <w:rsid w:val="00757C32"/>
    <w:rsid w:val="0076287D"/>
    <w:rsid w:val="007758F8"/>
    <w:rsid w:val="00776686"/>
    <w:rsid w:val="00792238"/>
    <w:rsid w:val="00794005"/>
    <w:rsid w:val="00796BDB"/>
    <w:rsid w:val="007A135A"/>
    <w:rsid w:val="007A5C77"/>
    <w:rsid w:val="007B21E7"/>
    <w:rsid w:val="007B3430"/>
    <w:rsid w:val="007C1BB4"/>
    <w:rsid w:val="007D5A38"/>
    <w:rsid w:val="007E51BB"/>
    <w:rsid w:val="007F003F"/>
    <w:rsid w:val="007F505D"/>
    <w:rsid w:val="007F6B68"/>
    <w:rsid w:val="008026EE"/>
    <w:rsid w:val="00820580"/>
    <w:rsid w:val="00820FE2"/>
    <w:rsid w:val="008263C9"/>
    <w:rsid w:val="00851D38"/>
    <w:rsid w:val="00853E1E"/>
    <w:rsid w:val="00854209"/>
    <w:rsid w:val="00856ECC"/>
    <w:rsid w:val="008633F2"/>
    <w:rsid w:val="008767DD"/>
    <w:rsid w:val="0087765D"/>
    <w:rsid w:val="008972C4"/>
    <w:rsid w:val="008A0C84"/>
    <w:rsid w:val="008A16F9"/>
    <w:rsid w:val="008A5DED"/>
    <w:rsid w:val="008B6AE3"/>
    <w:rsid w:val="008C7676"/>
    <w:rsid w:val="008D2862"/>
    <w:rsid w:val="008F1DA0"/>
    <w:rsid w:val="00901741"/>
    <w:rsid w:val="00901AE1"/>
    <w:rsid w:val="00911918"/>
    <w:rsid w:val="009136AA"/>
    <w:rsid w:val="00931542"/>
    <w:rsid w:val="00931CCB"/>
    <w:rsid w:val="00934124"/>
    <w:rsid w:val="00937080"/>
    <w:rsid w:val="00944778"/>
    <w:rsid w:val="009460A2"/>
    <w:rsid w:val="00950F84"/>
    <w:rsid w:val="00952130"/>
    <w:rsid w:val="00952E94"/>
    <w:rsid w:val="00962253"/>
    <w:rsid w:val="009700D5"/>
    <w:rsid w:val="00970D86"/>
    <w:rsid w:val="00987E01"/>
    <w:rsid w:val="00995459"/>
    <w:rsid w:val="00997532"/>
    <w:rsid w:val="009A1D67"/>
    <w:rsid w:val="009A78CD"/>
    <w:rsid w:val="009A7B9E"/>
    <w:rsid w:val="009B0D18"/>
    <w:rsid w:val="009B6360"/>
    <w:rsid w:val="009C27BF"/>
    <w:rsid w:val="009C4ACC"/>
    <w:rsid w:val="009E13BB"/>
    <w:rsid w:val="009E3CCC"/>
    <w:rsid w:val="009E40BB"/>
    <w:rsid w:val="009F4F07"/>
    <w:rsid w:val="009F7436"/>
    <w:rsid w:val="00A05EDA"/>
    <w:rsid w:val="00A10250"/>
    <w:rsid w:val="00A204E0"/>
    <w:rsid w:val="00A21DB0"/>
    <w:rsid w:val="00A22BC7"/>
    <w:rsid w:val="00A263D4"/>
    <w:rsid w:val="00A26FD8"/>
    <w:rsid w:val="00A34E25"/>
    <w:rsid w:val="00A36E4B"/>
    <w:rsid w:val="00A431AD"/>
    <w:rsid w:val="00A47255"/>
    <w:rsid w:val="00A523C2"/>
    <w:rsid w:val="00A5294D"/>
    <w:rsid w:val="00A5515C"/>
    <w:rsid w:val="00A55C0E"/>
    <w:rsid w:val="00A86DF3"/>
    <w:rsid w:val="00A9100E"/>
    <w:rsid w:val="00AA03A6"/>
    <w:rsid w:val="00AA0E38"/>
    <w:rsid w:val="00AA5A97"/>
    <w:rsid w:val="00AB097F"/>
    <w:rsid w:val="00AC6513"/>
    <w:rsid w:val="00AC6F12"/>
    <w:rsid w:val="00AD354E"/>
    <w:rsid w:val="00AE5495"/>
    <w:rsid w:val="00AF40BD"/>
    <w:rsid w:val="00AF62B9"/>
    <w:rsid w:val="00B003E1"/>
    <w:rsid w:val="00B06754"/>
    <w:rsid w:val="00B1098B"/>
    <w:rsid w:val="00B10B6A"/>
    <w:rsid w:val="00B22F54"/>
    <w:rsid w:val="00B3258D"/>
    <w:rsid w:val="00B3281F"/>
    <w:rsid w:val="00B35E3A"/>
    <w:rsid w:val="00B40AE9"/>
    <w:rsid w:val="00B5165D"/>
    <w:rsid w:val="00B60614"/>
    <w:rsid w:val="00B61485"/>
    <w:rsid w:val="00B62560"/>
    <w:rsid w:val="00B65564"/>
    <w:rsid w:val="00B704C6"/>
    <w:rsid w:val="00B7364E"/>
    <w:rsid w:val="00B7681D"/>
    <w:rsid w:val="00B81CBB"/>
    <w:rsid w:val="00BA0D17"/>
    <w:rsid w:val="00BB2261"/>
    <w:rsid w:val="00BC1011"/>
    <w:rsid w:val="00BD28B7"/>
    <w:rsid w:val="00BD58D5"/>
    <w:rsid w:val="00BD6636"/>
    <w:rsid w:val="00BE6297"/>
    <w:rsid w:val="00BE73F8"/>
    <w:rsid w:val="00BF0852"/>
    <w:rsid w:val="00BF1742"/>
    <w:rsid w:val="00BF1C33"/>
    <w:rsid w:val="00BF232E"/>
    <w:rsid w:val="00BF4524"/>
    <w:rsid w:val="00BF489C"/>
    <w:rsid w:val="00C00F81"/>
    <w:rsid w:val="00C01C15"/>
    <w:rsid w:val="00C17A54"/>
    <w:rsid w:val="00C27FA5"/>
    <w:rsid w:val="00C33A2D"/>
    <w:rsid w:val="00C36A89"/>
    <w:rsid w:val="00C37AC6"/>
    <w:rsid w:val="00C40815"/>
    <w:rsid w:val="00C432CE"/>
    <w:rsid w:val="00C5380C"/>
    <w:rsid w:val="00C63DBE"/>
    <w:rsid w:val="00C74AFF"/>
    <w:rsid w:val="00C75303"/>
    <w:rsid w:val="00C75E21"/>
    <w:rsid w:val="00C76956"/>
    <w:rsid w:val="00C867FB"/>
    <w:rsid w:val="00C950BE"/>
    <w:rsid w:val="00CA627D"/>
    <w:rsid w:val="00CA6604"/>
    <w:rsid w:val="00CA6ECA"/>
    <w:rsid w:val="00CB1D25"/>
    <w:rsid w:val="00CC104F"/>
    <w:rsid w:val="00CC12B0"/>
    <w:rsid w:val="00CC16BA"/>
    <w:rsid w:val="00CD09AF"/>
    <w:rsid w:val="00CD194E"/>
    <w:rsid w:val="00CD1AF6"/>
    <w:rsid w:val="00CD6C47"/>
    <w:rsid w:val="00CE3357"/>
    <w:rsid w:val="00CE4BF4"/>
    <w:rsid w:val="00CF39B6"/>
    <w:rsid w:val="00CF62CC"/>
    <w:rsid w:val="00CF7D17"/>
    <w:rsid w:val="00D011CC"/>
    <w:rsid w:val="00D01CCA"/>
    <w:rsid w:val="00D12845"/>
    <w:rsid w:val="00D128D3"/>
    <w:rsid w:val="00D15207"/>
    <w:rsid w:val="00D215C0"/>
    <w:rsid w:val="00D21D3E"/>
    <w:rsid w:val="00D3167C"/>
    <w:rsid w:val="00D31A66"/>
    <w:rsid w:val="00D474C7"/>
    <w:rsid w:val="00D50B03"/>
    <w:rsid w:val="00D5108D"/>
    <w:rsid w:val="00D544AF"/>
    <w:rsid w:val="00D550CD"/>
    <w:rsid w:val="00D553C0"/>
    <w:rsid w:val="00D61246"/>
    <w:rsid w:val="00D726AD"/>
    <w:rsid w:val="00D775D2"/>
    <w:rsid w:val="00D8006E"/>
    <w:rsid w:val="00D81031"/>
    <w:rsid w:val="00D859CE"/>
    <w:rsid w:val="00D93487"/>
    <w:rsid w:val="00D96106"/>
    <w:rsid w:val="00DA046F"/>
    <w:rsid w:val="00DB464A"/>
    <w:rsid w:val="00DB517C"/>
    <w:rsid w:val="00DC1C53"/>
    <w:rsid w:val="00DC45A1"/>
    <w:rsid w:val="00DC7520"/>
    <w:rsid w:val="00DC7E4E"/>
    <w:rsid w:val="00DD1969"/>
    <w:rsid w:val="00DD6E56"/>
    <w:rsid w:val="00DE3EEE"/>
    <w:rsid w:val="00DE61B8"/>
    <w:rsid w:val="00DE7235"/>
    <w:rsid w:val="00DE7E88"/>
    <w:rsid w:val="00DF30A5"/>
    <w:rsid w:val="00DF6316"/>
    <w:rsid w:val="00E02D64"/>
    <w:rsid w:val="00E0401E"/>
    <w:rsid w:val="00E07590"/>
    <w:rsid w:val="00E256F9"/>
    <w:rsid w:val="00E26A31"/>
    <w:rsid w:val="00E3771C"/>
    <w:rsid w:val="00E54B83"/>
    <w:rsid w:val="00E57EFB"/>
    <w:rsid w:val="00E6189B"/>
    <w:rsid w:val="00E61DA6"/>
    <w:rsid w:val="00E70B25"/>
    <w:rsid w:val="00E7296C"/>
    <w:rsid w:val="00E75350"/>
    <w:rsid w:val="00E83855"/>
    <w:rsid w:val="00E84251"/>
    <w:rsid w:val="00E9227E"/>
    <w:rsid w:val="00E96148"/>
    <w:rsid w:val="00EB0C6E"/>
    <w:rsid w:val="00EB38C6"/>
    <w:rsid w:val="00EB50B3"/>
    <w:rsid w:val="00EB749B"/>
    <w:rsid w:val="00ED0921"/>
    <w:rsid w:val="00ED37EE"/>
    <w:rsid w:val="00EE0BBB"/>
    <w:rsid w:val="00EF2A78"/>
    <w:rsid w:val="00F05BBD"/>
    <w:rsid w:val="00F07D8A"/>
    <w:rsid w:val="00F13F92"/>
    <w:rsid w:val="00F22EE0"/>
    <w:rsid w:val="00F23CAA"/>
    <w:rsid w:val="00F24E61"/>
    <w:rsid w:val="00F25040"/>
    <w:rsid w:val="00F31E92"/>
    <w:rsid w:val="00F371D5"/>
    <w:rsid w:val="00F533F9"/>
    <w:rsid w:val="00F64B2D"/>
    <w:rsid w:val="00F67073"/>
    <w:rsid w:val="00F72144"/>
    <w:rsid w:val="00F7799D"/>
    <w:rsid w:val="00F811D4"/>
    <w:rsid w:val="00F92B49"/>
    <w:rsid w:val="00F9426F"/>
    <w:rsid w:val="00F94C8B"/>
    <w:rsid w:val="00F9651B"/>
    <w:rsid w:val="00FB4D67"/>
    <w:rsid w:val="00FB4F4F"/>
    <w:rsid w:val="00FD1146"/>
    <w:rsid w:val="00FD20EC"/>
    <w:rsid w:val="00FD39C9"/>
    <w:rsid w:val="00FD51C3"/>
    <w:rsid w:val="00FE0840"/>
    <w:rsid w:val="00FF36DE"/>
    <w:rsid w:val="01001B5E"/>
    <w:rsid w:val="01541EA9"/>
    <w:rsid w:val="01AD71CF"/>
    <w:rsid w:val="01BB4698"/>
    <w:rsid w:val="01E1571C"/>
    <w:rsid w:val="025263E9"/>
    <w:rsid w:val="02B32C00"/>
    <w:rsid w:val="03395B24"/>
    <w:rsid w:val="03B7227C"/>
    <w:rsid w:val="03DB0660"/>
    <w:rsid w:val="03DC603C"/>
    <w:rsid w:val="03E94B2B"/>
    <w:rsid w:val="04047A01"/>
    <w:rsid w:val="046A3975"/>
    <w:rsid w:val="050F15EC"/>
    <w:rsid w:val="054364BD"/>
    <w:rsid w:val="055661F0"/>
    <w:rsid w:val="055C77B1"/>
    <w:rsid w:val="056D78CA"/>
    <w:rsid w:val="0576740B"/>
    <w:rsid w:val="057E74F5"/>
    <w:rsid w:val="05DB04A3"/>
    <w:rsid w:val="06020126"/>
    <w:rsid w:val="06021ED4"/>
    <w:rsid w:val="065A3ABE"/>
    <w:rsid w:val="06620BC5"/>
    <w:rsid w:val="06897EFF"/>
    <w:rsid w:val="06BD4881"/>
    <w:rsid w:val="075449B1"/>
    <w:rsid w:val="075D7F93"/>
    <w:rsid w:val="07612C2A"/>
    <w:rsid w:val="07B3711B"/>
    <w:rsid w:val="07F97307"/>
    <w:rsid w:val="081A5FF8"/>
    <w:rsid w:val="083420ED"/>
    <w:rsid w:val="083668D1"/>
    <w:rsid w:val="0844671F"/>
    <w:rsid w:val="0858227F"/>
    <w:rsid w:val="088D5F62"/>
    <w:rsid w:val="089B03BE"/>
    <w:rsid w:val="08B576D2"/>
    <w:rsid w:val="090917CB"/>
    <w:rsid w:val="090B10A0"/>
    <w:rsid w:val="09257F57"/>
    <w:rsid w:val="09390FDF"/>
    <w:rsid w:val="096D3B08"/>
    <w:rsid w:val="096E7505"/>
    <w:rsid w:val="09BA1C96"/>
    <w:rsid w:val="0A025C68"/>
    <w:rsid w:val="0A0A1357"/>
    <w:rsid w:val="0A6842D0"/>
    <w:rsid w:val="0A9A6B7F"/>
    <w:rsid w:val="0ABA0FCF"/>
    <w:rsid w:val="0B565CEF"/>
    <w:rsid w:val="0B6E3B68"/>
    <w:rsid w:val="0B84338B"/>
    <w:rsid w:val="0B8B368D"/>
    <w:rsid w:val="0BA447B9"/>
    <w:rsid w:val="0BF57DE5"/>
    <w:rsid w:val="0C05627A"/>
    <w:rsid w:val="0C122745"/>
    <w:rsid w:val="0C4F74F5"/>
    <w:rsid w:val="0CE14597"/>
    <w:rsid w:val="0CF307C8"/>
    <w:rsid w:val="0D1D75F3"/>
    <w:rsid w:val="0D26294C"/>
    <w:rsid w:val="0D5F3C41"/>
    <w:rsid w:val="0DCF4D92"/>
    <w:rsid w:val="0DDA072B"/>
    <w:rsid w:val="0DF5231E"/>
    <w:rsid w:val="0E39356A"/>
    <w:rsid w:val="0E6669A8"/>
    <w:rsid w:val="0E6A4ABA"/>
    <w:rsid w:val="0EAF4BC3"/>
    <w:rsid w:val="0EBF0AC7"/>
    <w:rsid w:val="0ED800D2"/>
    <w:rsid w:val="0F360E40"/>
    <w:rsid w:val="0F891CCA"/>
    <w:rsid w:val="0FB12275"/>
    <w:rsid w:val="0FB129F9"/>
    <w:rsid w:val="0FD52407"/>
    <w:rsid w:val="0FFC3E38"/>
    <w:rsid w:val="10294501"/>
    <w:rsid w:val="10442DF9"/>
    <w:rsid w:val="10596B94"/>
    <w:rsid w:val="10AC760C"/>
    <w:rsid w:val="10EC3443"/>
    <w:rsid w:val="1113541C"/>
    <w:rsid w:val="11162CD7"/>
    <w:rsid w:val="11163BD1"/>
    <w:rsid w:val="116003F7"/>
    <w:rsid w:val="11A33722"/>
    <w:rsid w:val="11BD25D7"/>
    <w:rsid w:val="11EB5F12"/>
    <w:rsid w:val="12307DC9"/>
    <w:rsid w:val="123C051C"/>
    <w:rsid w:val="125A4E46"/>
    <w:rsid w:val="127A1044"/>
    <w:rsid w:val="128067F4"/>
    <w:rsid w:val="129200A1"/>
    <w:rsid w:val="12E20DF1"/>
    <w:rsid w:val="13453400"/>
    <w:rsid w:val="136441CE"/>
    <w:rsid w:val="13655850"/>
    <w:rsid w:val="13702B73"/>
    <w:rsid w:val="1383698B"/>
    <w:rsid w:val="139F6FB4"/>
    <w:rsid w:val="13A97E33"/>
    <w:rsid w:val="13EC7D20"/>
    <w:rsid w:val="140774D3"/>
    <w:rsid w:val="14810AD3"/>
    <w:rsid w:val="14AA6509"/>
    <w:rsid w:val="151924EB"/>
    <w:rsid w:val="157F52EF"/>
    <w:rsid w:val="158B5939"/>
    <w:rsid w:val="16223ECC"/>
    <w:rsid w:val="16513DF6"/>
    <w:rsid w:val="16826719"/>
    <w:rsid w:val="16AD7C3A"/>
    <w:rsid w:val="16BE59A3"/>
    <w:rsid w:val="16DC6904"/>
    <w:rsid w:val="17372774"/>
    <w:rsid w:val="179D10E7"/>
    <w:rsid w:val="17CA0378"/>
    <w:rsid w:val="17EB6C6C"/>
    <w:rsid w:val="18245CDA"/>
    <w:rsid w:val="18357EE7"/>
    <w:rsid w:val="183D4FEE"/>
    <w:rsid w:val="18431828"/>
    <w:rsid w:val="18534811"/>
    <w:rsid w:val="187C78C4"/>
    <w:rsid w:val="18822A00"/>
    <w:rsid w:val="18B03A11"/>
    <w:rsid w:val="18E15BC5"/>
    <w:rsid w:val="1916054D"/>
    <w:rsid w:val="19283F59"/>
    <w:rsid w:val="193E2DCB"/>
    <w:rsid w:val="19855777"/>
    <w:rsid w:val="199F3505"/>
    <w:rsid w:val="19A76BC3"/>
    <w:rsid w:val="19CA28B1"/>
    <w:rsid w:val="1A147FD0"/>
    <w:rsid w:val="1A744390"/>
    <w:rsid w:val="1AA90718"/>
    <w:rsid w:val="1AB05F4B"/>
    <w:rsid w:val="1AE250EB"/>
    <w:rsid w:val="1AEC38F5"/>
    <w:rsid w:val="1B102545"/>
    <w:rsid w:val="1B1C713C"/>
    <w:rsid w:val="1B5B5EB7"/>
    <w:rsid w:val="1B7161D9"/>
    <w:rsid w:val="1B721452"/>
    <w:rsid w:val="1B8D003A"/>
    <w:rsid w:val="1B9118D8"/>
    <w:rsid w:val="1B9A62B3"/>
    <w:rsid w:val="1BAD5FE6"/>
    <w:rsid w:val="1BBB4BA7"/>
    <w:rsid w:val="1BE7599C"/>
    <w:rsid w:val="1C0C3671"/>
    <w:rsid w:val="1C512E16"/>
    <w:rsid w:val="1C5C2383"/>
    <w:rsid w:val="1C7D3C0B"/>
    <w:rsid w:val="1C8256C5"/>
    <w:rsid w:val="1C876837"/>
    <w:rsid w:val="1C9378D2"/>
    <w:rsid w:val="1CA3357F"/>
    <w:rsid w:val="1CA41E3E"/>
    <w:rsid w:val="1CE3322C"/>
    <w:rsid w:val="1D507571"/>
    <w:rsid w:val="1D5D57EA"/>
    <w:rsid w:val="1D7414B2"/>
    <w:rsid w:val="1DC807F2"/>
    <w:rsid w:val="1DF61EC7"/>
    <w:rsid w:val="1E0D0FBE"/>
    <w:rsid w:val="1E2E78B2"/>
    <w:rsid w:val="1F106FB8"/>
    <w:rsid w:val="1F2530E7"/>
    <w:rsid w:val="1F6115C2"/>
    <w:rsid w:val="1F901EA7"/>
    <w:rsid w:val="20857532"/>
    <w:rsid w:val="20AA51EA"/>
    <w:rsid w:val="20CA738D"/>
    <w:rsid w:val="20CF4C51"/>
    <w:rsid w:val="20F070A1"/>
    <w:rsid w:val="212B7DA3"/>
    <w:rsid w:val="21EE1107"/>
    <w:rsid w:val="22010E3A"/>
    <w:rsid w:val="220D3C83"/>
    <w:rsid w:val="2215336F"/>
    <w:rsid w:val="2245341D"/>
    <w:rsid w:val="22AC18A0"/>
    <w:rsid w:val="22D13B98"/>
    <w:rsid w:val="231D0E67"/>
    <w:rsid w:val="244B2840"/>
    <w:rsid w:val="2479115B"/>
    <w:rsid w:val="24E52C95"/>
    <w:rsid w:val="24EA2059"/>
    <w:rsid w:val="24EF141E"/>
    <w:rsid w:val="252D3BF4"/>
    <w:rsid w:val="25326E51"/>
    <w:rsid w:val="253F2C8E"/>
    <w:rsid w:val="258673AF"/>
    <w:rsid w:val="2593624D"/>
    <w:rsid w:val="25D63996"/>
    <w:rsid w:val="25DF1492"/>
    <w:rsid w:val="261A696E"/>
    <w:rsid w:val="26A1499A"/>
    <w:rsid w:val="26AD372B"/>
    <w:rsid w:val="27117D71"/>
    <w:rsid w:val="276A122F"/>
    <w:rsid w:val="27B5694E"/>
    <w:rsid w:val="27BD3A55"/>
    <w:rsid w:val="27DA4607"/>
    <w:rsid w:val="28011B94"/>
    <w:rsid w:val="28125B4F"/>
    <w:rsid w:val="282F34A2"/>
    <w:rsid w:val="284303FE"/>
    <w:rsid w:val="285A12A4"/>
    <w:rsid w:val="288D1679"/>
    <w:rsid w:val="28C01A4F"/>
    <w:rsid w:val="28C62F47"/>
    <w:rsid w:val="28C95192"/>
    <w:rsid w:val="29074A85"/>
    <w:rsid w:val="29220014"/>
    <w:rsid w:val="292D5005"/>
    <w:rsid w:val="296972D8"/>
    <w:rsid w:val="29752839"/>
    <w:rsid w:val="29802F8C"/>
    <w:rsid w:val="299F3E4E"/>
    <w:rsid w:val="29DF5F05"/>
    <w:rsid w:val="29E928DF"/>
    <w:rsid w:val="2A273408"/>
    <w:rsid w:val="2A361988"/>
    <w:rsid w:val="2AAB5DE7"/>
    <w:rsid w:val="2B400C25"/>
    <w:rsid w:val="2B557A29"/>
    <w:rsid w:val="2B5841C1"/>
    <w:rsid w:val="2B667F60"/>
    <w:rsid w:val="2BB331A5"/>
    <w:rsid w:val="2BBD7A01"/>
    <w:rsid w:val="2BE11CDE"/>
    <w:rsid w:val="2C063C1D"/>
    <w:rsid w:val="2C5A3F68"/>
    <w:rsid w:val="2CBF3DCB"/>
    <w:rsid w:val="2CC869E8"/>
    <w:rsid w:val="2D0363AE"/>
    <w:rsid w:val="2D0A14EA"/>
    <w:rsid w:val="2D3B5B48"/>
    <w:rsid w:val="2D3E2F42"/>
    <w:rsid w:val="2D4A0B33"/>
    <w:rsid w:val="2D662499"/>
    <w:rsid w:val="2D97341D"/>
    <w:rsid w:val="2DDE64D3"/>
    <w:rsid w:val="2E410FE2"/>
    <w:rsid w:val="2EA63495"/>
    <w:rsid w:val="2EAC79D0"/>
    <w:rsid w:val="2F394CAA"/>
    <w:rsid w:val="2F3E36CD"/>
    <w:rsid w:val="2F3E547B"/>
    <w:rsid w:val="2F5527C5"/>
    <w:rsid w:val="2F882B9B"/>
    <w:rsid w:val="2FA379D4"/>
    <w:rsid w:val="2FBB4D1E"/>
    <w:rsid w:val="2FD933F6"/>
    <w:rsid w:val="2FFD0E93"/>
    <w:rsid w:val="2FFD70E5"/>
    <w:rsid w:val="307E4B7A"/>
    <w:rsid w:val="30D065A7"/>
    <w:rsid w:val="30DF0B3A"/>
    <w:rsid w:val="30E241D3"/>
    <w:rsid w:val="310821E5"/>
    <w:rsid w:val="316F7FF1"/>
    <w:rsid w:val="31C61758"/>
    <w:rsid w:val="31CD2AE7"/>
    <w:rsid w:val="32052280"/>
    <w:rsid w:val="327D275F"/>
    <w:rsid w:val="3281224F"/>
    <w:rsid w:val="32820142"/>
    <w:rsid w:val="32AF512E"/>
    <w:rsid w:val="32D305D1"/>
    <w:rsid w:val="32F25DB3"/>
    <w:rsid w:val="32F80037"/>
    <w:rsid w:val="33305A23"/>
    <w:rsid w:val="333170A5"/>
    <w:rsid w:val="338740FF"/>
    <w:rsid w:val="33890C8F"/>
    <w:rsid w:val="33AD2BD0"/>
    <w:rsid w:val="33AD7074"/>
    <w:rsid w:val="340F388A"/>
    <w:rsid w:val="341449FD"/>
    <w:rsid w:val="34590A22"/>
    <w:rsid w:val="345E62FD"/>
    <w:rsid w:val="34A915E9"/>
    <w:rsid w:val="35470E02"/>
    <w:rsid w:val="354C01C6"/>
    <w:rsid w:val="354E1EDF"/>
    <w:rsid w:val="354E2190"/>
    <w:rsid w:val="35A46254"/>
    <w:rsid w:val="3627310D"/>
    <w:rsid w:val="365A7C43"/>
    <w:rsid w:val="36645FB1"/>
    <w:rsid w:val="36AC716F"/>
    <w:rsid w:val="36D030F5"/>
    <w:rsid w:val="36D3294D"/>
    <w:rsid w:val="36F9612C"/>
    <w:rsid w:val="3711477B"/>
    <w:rsid w:val="371D1E1A"/>
    <w:rsid w:val="372A4537"/>
    <w:rsid w:val="37407C00"/>
    <w:rsid w:val="374E6478"/>
    <w:rsid w:val="37674723"/>
    <w:rsid w:val="37826121"/>
    <w:rsid w:val="37983B97"/>
    <w:rsid w:val="379C3687"/>
    <w:rsid w:val="37A60062"/>
    <w:rsid w:val="37BE184F"/>
    <w:rsid w:val="37BF0F9F"/>
    <w:rsid w:val="37F92887"/>
    <w:rsid w:val="38507FCD"/>
    <w:rsid w:val="38A5656B"/>
    <w:rsid w:val="38C37110"/>
    <w:rsid w:val="38D26C34"/>
    <w:rsid w:val="38DE382B"/>
    <w:rsid w:val="38E70932"/>
    <w:rsid w:val="39047736"/>
    <w:rsid w:val="39CB3DB0"/>
    <w:rsid w:val="3A6B1E5A"/>
    <w:rsid w:val="3AC21656"/>
    <w:rsid w:val="3ACD3B57"/>
    <w:rsid w:val="3B0357CB"/>
    <w:rsid w:val="3B8701AA"/>
    <w:rsid w:val="3BD056AD"/>
    <w:rsid w:val="3C720E5A"/>
    <w:rsid w:val="3CD218F9"/>
    <w:rsid w:val="3D0C0967"/>
    <w:rsid w:val="3D475E43"/>
    <w:rsid w:val="3D891FB8"/>
    <w:rsid w:val="3DAF5796"/>
    <w:rsid w:val="3E3E7246"/>
    <w:rsid w:val="3E474440"/>
    <w:rsid w:val="3E5E3444"/>
    <w:rsid w:val="3EC878F9"/>
    <w:rsid w:val="3F512FA9"/>
    <w:rsid w:val="3F8972E1"/>
    <w:rsid w:val="3FFF47B3"/>
    <w:rsid w:val="40210BCD"/>
    <w:rsid w:val="406311E6"/>
    <w:rsid w:val="40776A3F"/>
    <w:rsid w:val="40B05AAD"/>
    <w:rsid w:val="40E8793D"/>
    <w:rsid w:val="41735459"/>
    <w:rsid w:val="41A95E77"/>
    <w:rsid w:val="41EF0857"/>
    <w:rsid w:val="41F1637D"/>
    <w:rsid w:val="41FF2BD8"/>
    <w:rsid w:val="420A743F"/>
    <w:rsid w:val="42383FAC"/>
    <w:rsid w:val="42AE5CEC"/>
    <w:rsid w:val="42C972FA"/>
    <w:rsid w:val="42E83C24"/>
    <w:rsid w:val="433724B6"/>
    <w:rsid w:val="43397FDC"/>
    <w:rsid w:val="433C58E3"/>
    <w:rsid w:val="434515B3"/>
    <w:rsid w:val="43700BC5"/>
    <w:rsid w:val="43754D8C"/>
    <w:rsid w:val="437F17F2"/>
    <w:rsid w:val="438D657A"/>
    <w:rsid w:val="438F3327"/>
    <w:rsid w:val="43994F1E"/>
    <w:rsid w:val="43AC2EA4"/>
    <w:rsid w:val="43B6787E"/>
    <w:rsid w:val="43EF4B3E"/>
    <w:rsid w:val="44960633"/>
    <w:rsid w:val="44F3240C"/>
    <w:rsid w:val="44F93EC7"/>
    <w:rsid w:val="44FE772F"/>
    <w:rsid w:val="453273D9"/>
    <w:rsid w:val="454A4722"/>
    <w:rsid w:val="455A248C"/>
    <w:rsid w:val="457C68A6"/>
    <w:rsid w:val="45A52A46"/>
    <w:rsid w:val="45B002FD"/>
    <w:rsid w:val="45ED50AE"/>
    <w:rsid w:val="464B5944"/>
    <w:rsid w:val="46737CA9"/>
    <w:rsid w:val="467852BF"/>
    <w:rsid w:val="4678706D"/>
    <w:rsid w:val="46AB11F1"/>
    <w:rsid w:val="470628CB"/>
    <w:rsid w:val="472D42FC"/>
    <w:rsid w:val="4792415F"/>
    <w:rsid w:val="47933E16"/>
    <w:rsid w:val="47B16CDB"/>
    <w:rsid w:val="47BF292B"/>
    <w:rsid w:val="48111527"/>
    <w:rsid w:val="48117779"/>
    <w:rsid w:val="48333BA7"/>
    <w:rsid w:val="48677399"/>
    <w:rsid w:val="487A14ED"/>
    <w:rsid w:val="487D096B"/>
    <w:rsid w:val="49261002"/>
    <w:rsid w:val="4A38723F"/>
    <w:rsid w:val="4A7B712C"/>
    <w:rsid w:val="4AB34B18"/>
    <w:rsid w:val="4B045CC2"/>
    <w:rsid w:val="4B1A4B97"/>
    <w:rsid w:val="4B726781"/>
    <w:rsid w:val="4B7C13AE"/>
    <w:rsid w:val="4B9743E4"/>
    <w:rsid w:val="4BAD1567"/>
    <w:rsid w:val="4BC863A1"/>
    <w:rsid w:val="4C0513A3"/>
    <w:rsid w:val="4C3A6B73"/>
    <w:rsid w:val="4C480B9C"/>
    <w:rsid w:val="4D1A0E7E"/>
    <w:rsid w:val="4D4D167D"/>
    <w:rsid w:val="4DA16282"/>
    <w:rsid w:val="4DC4528E"/>
    <w:rsid w:val="4E0D67C5"/>
    <w:rsid w:val="4E4168DE"/>
    <w:rsid w:val="4E7E368F"/>
    <w:rsid w:val="4F5166AD"/>
    <w:rsid w:val="4F555643"/>
    <w:rsid w:val="4F642884"/>
    <w:rsid w:val="4FB8672C"/>
    <w:rsid w:val="4FC74BC1"/>
    <w:rsid w:val="4FDC241B"/>
    <w:rsid w:val="4FE55557"/>
    <w:rsid w:val="502142D2"/>
    <w:rsid w:val="504F52E3"/>
    <w:rsid w:val="50691BF8"/>
    <w:rsid w:val="50964CC0"/>
    <w:rsid w:val="509B0528"/>
    <w:rsid w:val="50AC0D8A"/>
    <w:rsid w:val="50B76522"/>
    <w:rsid w:val="50FE4C8B"/>
    <w:rsid w:val="510F05CE"/>
    <w:rsid w:val="51363619"/>
    <w:rsid w:val="51BF3DA2"/>
    <w:rsid w:val="52377DDC"/>
    <w:rsid w:val="5371731E"/>
    <w:rsid w:val="537341E1"/>
    <w:rsid w:val="53C80274"/>
    <w:rsid w:val="53F81198"/>
    <w:rsid w:val="54776B27"/>
    <w:rsid w:val="551268DF"/>
    <w:rsid w:val="554F18E1"/>
    <w:rsid w:val="55A734CB"/>
    <w:rsid w:val="55F62EA9"/>
    <w:rsid w:val="56002BDB"/>
    <w:rsid w:val="563805C7"/>
    <w:rsid w:val="56835CE6"/>
    <w:rsid w:val="56FF2E93"/>
    <w:rsid w:val="570A2FAA"/>
    <w:rsid w:val="57622109"/>
    <w:rsid w:val="577A7043"/>
    <w:rsid w:val="57B22997"/>
    <w:rsid w:val="57BB325E"/>
    <w:rsid w:val="57F549C2"/>
    <w:rsid w:val="583316D3"/>
    <w:rsid w:val="586E6522"/>
    <w:rsid w:val="58A27F7A"/>
    <w:rsid w:val="58DF7D87"/>
    <w:rsid w:val="58FF4147"/>
    <w:rsid w:val="59350DEE"/>
    <w:rsid w:val="59417793"/>
    <w:rsid w:val="595C637A"/>
    <w:rsid w:val="59B461B6"/>
    <w:rsid w:val="59BE0DE3"/>
    <w:rsid w:val="59ED3476"/>
    <w:rsid w:val="59FA62BF"/>
    <w:rsid w:val="5A0C5FF2"/>
    <w:rsid w:val="5A0E4F19"/>
    <w:rsid w:val="5A2A0227"/>
    <w:rsid w:val="5A6000EC"/>
    <w:rsid w:val="5AD85ED5"/>
    <w:rsid w:val="5AFA5E4B"/>
    <w:rsid w:val="5B726329"/>
    <w:rsid w:val="5B8147BE"/>
    <w:rsid w:val="5BA5225B"/>
    <w:rsid w:val="5BFE7BBD"/>
    <w:rsid w:val="5C1B42CB"/>
    <w:rsid w:val="5C2238AB"/>
    <w:rsid w:val="5CB00EB7"/>
    <w:rsid w:val="5D296EBB"/>
    <w:rsid w:val="5D2F46AC"/>
    <w:rsid w:val="5D3C6BEF"/>
    <w:rsid w:val="5DEF3C61"/>
    <w:rsid w:val="5DF15728"/>
    <w:rsid w:val="5E3E6996"/>
    <w:rsid w:val="5E8C7702"/>
    <w:rsid w:val="5ED82947"/>
    <w:rsid w:val="5EDF3CD6"/>
    <w:rsid w:val="5EEE216B"/>
    <w:rsid w:val="5F5F4E16"/>
    <w:rsid w:val="5F685A79"/>
    <w:rsid w:val="5F7A57AC"/>
    <w:rsid w:val="5FD255E8"/>
    <w:rsid w:val="5FD56E87"/>
    <w:rsid w:val="604F4E8B"/>
    <w:rsid w:val="60844B35"/>
    <w:rsid w:val="61DB614A"/>
    <w:rsid w:val="61F45CEA"/>
    <w:rsid w:val="62353C0D"/>
    <w:rsid w:val="62A22B0D"/>
    <w:rsid w:val="62FB2B62"/>
    <w:rsid w:val="633E725C"/>
    <w:rsid w:val="63807F4E"/>
    <w:rsid w:val="639D7CBB"/>
    <w:rsid w:val="64406FC4"/>
    <w:rsid w:val="645F0F47"/>
    <w:rsid w:val="647334A6"/>
    <w:rsid w:val="64966BE4"/>
    <w:rsid w:val="64C23E7D"/>
    <w:rsid w:val="653B778C"/>
    <w:rsid w:val="655B7E2E"/>
    <w:rsid w:val="657D1B52"/>
    <w:rsid w:val="65C14135"/>
    <w:rsid w:val="661E3335"/>
    <w:rsid w:val="662326FA"/>
    <w:rsid w:val="66CA526B"/>
    <w:rsid w:val="67144738"/>
    <w:rsid w:val="67602B70"/>
    <w:rsid w:val="6779459B"/>
    <w:rsid w:val="67D6379C"/>
    <w:rsid w:val="68142C42"/>
    <w:rsid w:val="687C4343"/>
    <w:rsid w:val="688F051A"/>
    <w:rsid w:val="68AD09A1"/>
    <w:rsid w:val="68EB3277"/>
    <w:rsid w:val="68EF4B15"/>
    <w:rsid w:val="697C1B9B"/>
    <w:rsid w:val="69992CD3"/>
    <w:rsid w:val="69FF522C"/>
    <w:rsid w:val="6A1A3E14"/>
    <w:rsid w:val="6A1E130F"/>
    <w:rsid w:val="6A694D9B"/>
    <w:rsid w:val="6A70612A"/>
    <w:rsid w:val="6B016D82"/>
    <w:rsid w:val="6B7E4876"/>
    <w:rsid w:val="6BAF4A30"/>
    <w:rsid w:val="6D385033"/>
    <w:rsid w:val="6D5E2269"/>
    <w:rsid w:val="6DA31945"/>
    <w:rsid w:val="6E40301D"/>
    <w:rsid w:val="6E531FEA"/>
    <w:rsid w:val="6E5A5127"/>
    <w:rsid w:val="6E5E1250"/>
    <w:rsid w:val="6EA75E92"/>
    <w:rsid w:val="6ED44ED9"/>
    <w:rsid w:val="6EDF4C1D"/>
    <w:rsid w:val="6EF2535F"/>
    <w:rsid w:val="701A2DBF"/>
    <w:rsid w:val="70272FD8"/>
    <w:rsid w:val="705F4C76"/>
    <w:rsid w:val="707149AA"/>
    <w:rsid w:val="708741CD"/>
    <w:rsid w:val="70F51137"/>
    <w:rsid w:val="715C7408"/>
    <w:rsid w:val="71E91395"/>
    <w:rsid w:val="720F447A"/>
    <w:rsid w:val="723A6589"/>
    <w:rsid w:val="72541483"/>
    <w:rsid w:val="725B76BF"/>
    <w:rsid w:val="72677E12"/>
    <w:rsid w:val="72AB41A3"/>
    <w:rsid w:val="72BB2086"/>
    <w:rsid w:val="73025D8D"/>
    <w:rsid w:val="733C304D"/>
    <w:rsid w:val="736B1B84"/>
    <w:rsid w:val="736E51D0"/>
    <w:rsid w:val="73814F04"/>
    <w:rsid w:val="738C4462"/>
    <w:rsid w:val="742D385E"/>
    <w:rsid w:val="74820F33"/>
    <w:rsid w:val="7483700E"/>
    <w:rsid w:val="74DE4C7C"/>
    <w:rsid w:val="757E5B9F"/>
    <w:rsid w:val="75986535"/>
    <w:rsid w:val="75A24B98"/>
    <w:rsid w:val="762F6E99"/>
    <w:rsid w:val="766F3739"/>
    <w:rsid w:val="76937428"/>
    <w:rsid w:val="769D3E02"/>
    <w:rsid w:val="76D33CC8"/>
    <w:rsid w:val="76EE0B02"/>
    <w:rsid w:val="773A78A3"/>
    <w:rsid w:val="77753D8F"/>
    <w:rsid w:val="77884AB3"/>
    <w:rsid w:val="778E5E41"/>
    <w:rsid w:val="779C055E"/>
    <w:rsid w:val="77F008AA"/>
    <w:rsid w:val="7803238B"/>
    <w:rsid w:val="78177BE5"/>
    <w:rsid w:val="784C3D32"/>
    <w:rsid w:val="78670B6C"/>
    <w:rsid w:val="78A53CFB"/>
    <w:rsid w:val="792812D1"/>
    <w:rsid w:val="79584959"/>
    <w:rsid w:val="79711576"/>
    <w:rsid w:val="798219D5"/>
    <w:rsid w:val="79960FDD"/>
    <w:rsid w:val="79986B03"/>
    <w:rsid w:val="799A287B"/>
    <w:rsid w:val="79A30DC8"/>
    <w:rsid w:val="79B15DE7"/>
    <w:rsid w:val="79BF22E2"/>
    <w:rsid w:val="7A0F3269"/>
    <w:rsid w:val="7A275271"/>
    <w:rsid w:val="7A61783D"/>
    <w:rsid w:val="7AA80FC8"/>
    <w:rsid w:val="7AAD65DE"/>
    <w:rsid w:val="7AC878BC"/>
    <w:rsid w:val="7AD43C84"/>
    <w:rsid w:val="7AF20495"/>
    <w:rsid w:val="7AF64429"/>
    <w:rsid w:val="7B087CB8"/>
    <w:rsid w:val="7B5F1FCE"/>
    <w:rsid w:val="7B95779E"/>
    <w:rsid w:val="7BA21EBB"/>
    <w:rsid w:val="7BCA4977"/>
    <w:rsid w:val="7BD1454E"/>
    <w:rsid w:val="7BD52290"/>
    <w:rsid w:val="7BF60FF9"/>
    <w:rsid w:val="7C093CE8"/>
    <w:rsid w:val="7C156B31"/>
    <w:rsid w:val="7C3031DC"/>
    <w:rsid w:val="7CE767F8"/>
    <w:rsid w:val="7CFE75C5"/>
    <w:rsid w:val="7D7358BD"/>
    <w:rsid w:val="7DB36601"/>
    <w:rsid w:val="7DD32800"/>
    <w:rsid w:val="7DF32EA2"/>
    <w:rsid w:val="7DFF35F5"/>
    <w:rsid w:val="7E4D25B2"/>
    <w:rsid w:val="7ECD54A1"/>
    <w:rsid w:val="7ED21BEA"/>
    <w:rsid w:val="7F0A3FFF"/>
    <w:rsid w:val="7F2A72D7"/>
    <w:rsid w:val="7F8518D8"/>
    <w:rsid w:val="7FC20D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99"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206"/>
    <w:qFormat/>
    <w:uiPriority w:val="0"/>
    <w:pPr>
      <w:keepNext/>
      <w:jc w:val="center"/>
      <w:outlineLvl w:val="0"/>
    </w:pPr>
    <w:rPr>
      <w:rFonts w:ascii="楷体_GB2312" w:eastAsia="楷体_GB2312"/>
      <w:sz w:val="28"/>
      <w:szCs w:val="28"/>
      <w:lang w:eastAsia="en-US"/>
    </w:rPr>
  </w:style>
  <w:style w:type="paragraph" w:styleId="3">
    <w:name w:val="heading 2"/>
    <w:basedOn w:val="1"/>
    <w:next w:val="4"/>
    <w:link w:val="207"/>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styleId="5">
    <w:name w:val="heading 3"/>
    <w:basedOn w:val="1"/>
    <w:next w:val="4"/>
    <w:link w:val="209"/>
    <w:qFormat/>
    <w:uiPriority w:val="0"/>
    <w:pPr>
      <w:keepNext/>
      <w:keepLines/>
      <w:spacing w:before="260" w:after="260" w:line="416" w:lineRule="auto"/>
      <w:outlineLvl w:val="2"/>
    </w:pPr>
    <w:rPr>
      <w:b/>
      <w:bCs/>
      <w:sz w:val="32"/>
      <w:szCs w:val="32"/>
      <w:lang w:eastAsia="en-US"/>
    </w:rPr>
  </w:style>
  <w:style w:type="paragraph" w:styleId="6">
    <w:name w:val="heading 4"/>
    <w:basedOn w:val="1"/>
    <w:next w:val="4"/>
    <w:link w:val="210"/>
    <w:qFormat/>
    <w:uiPriority w:val="0"/>
    <w:pPr>
      <w:keepNext/>
      <w:keepLines/>
      <w:spacing w:before="280" w:after="290" w:line="376" w:lineRule="auto"/>
      <w:outlineLvl w:val="3"/>
    </w:pPr>
    <w:rPr>
      <w:rFonts w:ascii="Arial" w:hAnsi="Arial" w:eastAsia="黑体"/>
      <w:b/>
      <w:bCs/>
      <w:sz w:val="28"/>
      <w:szCs w:val="28"/>
      <w:lang w:eastAsia="en-US"/>
    </w:rPr>
  </w:style>
  <w:style w:type="paragraph" w:styleId="7">
    <w:name w:val="heading 5"/>
    <w:basedOn w:val="1"/>
    <w:next w:val="4"/>
    <w:link w:val="211"/>
    <w:qFormat/>
    <w:uiPriority w:val="0"/>
    <w:pPr>
      <w:keepNext/>
      <w:outlineLvl w:val="4"/>
    </w:pPr>
    <w:rPr>
      <w:rFonts w:ascii="宋体"/>
      <w:color w:val="000000"/>
      <w:sz w:val="28"/>
      <w:szCs w:val="28"/>
      <w:lang w:eastAsia="en-US"/>
    </w:rPr>
  </w:style>
  <w:style w:type="paragraph" w:styleId="8">
    <w:name w:val="heading 6"/>
    <w:basedOn w:val="1"/>
    <w:next w:val="1"/>
    <w:link w:val="212"/>
    <w:qFormat/>
    <w:uiPriority w:val="0"/>
    <w:pPr>
      <w:keepNext/>
      <w:keepLines/>
      <w:numPr>
        <w:ilvl w:val="5"/>
        <w:numId w:val="1"/>
      </w:numPr>
      <w:spacing w:before="240" w:after="64" w:line="320" w:lineRule="auto"/>
      <w:outlineLvl w:val="5"/>
    </w:pPr>
    <w:rPr>
      <w:rFonts w:ascii="Arial" w:hAnsi="Arial" w:eastAsia="黑体"/>
      <w:b/>
      <w:bCs/>
      <w:sz w:val="24"/>
      <w:szCs w:val="24"/>
      <w:lang w:eastAsia="en-US"/>
    </w:rPr>
  </w:style>
  <w:style w:type="paragraph" w:styleId="9">
    <w:name w:val="heading 7"/>
    <w:basedOn w:val="1"/>
    <w:next w:val="1"/>
    <w:link w:val="213"/>
    <w:qFormat/>
    <w:uiPriority w:val="0"/>
    <w:pPr>
      <w:keepNext/>
      <w:keepLines/>
      <w:numPr>
        <w:ilvl w:val="6"/>
        <w:numId w:val="1"/>
      </w:numPr>
      <w:spacing w:before="240" w:after="64" w:line="320" w:lineRule="auto"/>
      <w:outlineLvl w:val="6"/>
    </w:pPr>
    <w:rPr>
      <w:b/>
      <w:bCs/>
      <w:sz w:val="24"/>
      <w:szCs w:val="24"/>
      <w:lang w:eastAsia="en-US"/>
    </w:rPr>
  </w:style>
  <w:style w:type="paragraph" w:styleId="10">
    <w:name w:val="heading 8"/>
    <w:basedOn w:val="1"/>
    <w:next w:val="1"/>
    <w:link w:val="214"/>
    <w:qFormat/>
    <w:uiPriority w:val="0"/>
    <w:pPr>
      <w:keepNext/>
      <w:keepLines/>
      <w:numPr>
        <w:ilvl w:val="7"/>
        <w:numId w:val="1"/>
      </w:numPr>
      <w:spacing w:before="240" w:after="64" w:line="320" w:lineRule="auto"/>
      <w:outlineLvl w:val="7"/>
    </w:pPr>
    <w:rPr>
      <w:rFonts w:ascii="Arial" w:hAnsi="Arial" w:eastAsia="黑体"/>
      <w:sz w:val="24"/>
      <w:szCs w:val="24"/>
      <w:lang w:eastAsia="en-US"/>
    </w:rPr>
  </w:style>
  <w:style w:type="paragraph" w:styleId="11">
    <w:name w:val="heading 9"/>
    <w:basedOn w:val="1"/>
    <w:next w:val="1"/>
    <w:link w:val="215"/>
    <w:qFormat/>
    <w:uiPriority w:val="0"/>
    <w:pPr>
      <w:keepNext/>
      <w:keepLines/>
      <w:numPr>
        <w:ilvl w:val="8"/>
        <w:numId w:val="1"/>
      </w:numPr>
      <w:spacing w:before="240" w:after="64" w:line="320" w:lineRule="auto"/>
      <w:outlineLvl w:val="8"/>
    </w:pPr>
    <w:rPr>
      <w:rFonts w:ascii="Arial" w:hAnsi="Arial" w:eastAsia="黑体"/>
      <w:sz w:val="20"/>
      <w:lang w:eastAsia="en-US"/>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208"/>
    <w:qFormat/>
    <w:uiPriority w:val="0"/>
    <w:pPr>
      <w:ind w:firstLine="420"/>
    </w:pPr>
    <w:rPr>
      <w:sz w:val="20"/>
      <w:lang w:eastAsia="en-US"/>
    </w:rPr>
  </w:style>
  <w:style w:type="paragraph" w:styleId="12">
    <w:name w:val="List 3"/>
    <w:basedOn w:val="1"/>
    <w:qFormat/>
    <w:uiPriority w:val="0"/>
    <w:pPr>
      <w:ind w:left="100" w:hanging="200"/>
    </w:pPr>
  </w:style>
  <w:style w:type="paragraph" w:styleId="13">
    <w:name w:val="toc 7"/>
    <w:basedOn w:val="1"/>
    <w:next w:val="1"/>
    <w:semiHidden/>
    <w:qFormat/>
    <w:uiPriority w:val="0"/>
    <w:pPr>
      <w:ind w:left="1260"/>
      <w:jc w:val="left"/>
    </w:pPr>
  </w:style>
  <w:style w:type="paragraph" w:styleId="14">
    <w:name w:val="caption"/>
    <w:basedOn w:val="1"/>
    <w:next w:val="1"/>
    <w:semiHidden/>
    <w:unhideWhenUsed/>
    <w:qFormat/>
    <w:uiPriority w:val="35"/>
    <w:pPr>
      <w:spacing w:line="276" w:lineRule="auto"/>
    </w:pPr>
    <w:rPr>
      <w:b/>
      <w:bCs/>
      <w:color w:val="4F81BD"/>
      <w:sz w:val="18"/>
      <w:szCs w:val="18"/>
    </w:rPr>
  </w:style>
  <w:style w:type="paragraph" w:styleId="15">
    <w:name w:val="Document Map"/>
    <w:basedOn w:val="1"/>
    <w:link w:val="216"/>
    <w:semiHidden/>
    <w:qFormat/>
    <w:uiPriority w:val="0"/>
    <w:pPr>
      <w:shd w:val="clear" w:color="auto" w:fill="000080"/>
    </w:pPr>
    <w:rPr>
      <w:sz w:val="20"/>
      <w:lang w:eastAsia="en-US"/>
    </w:rPr>
  </w:style>
  <w:style w:type="paragraph" w:styleId="16">
    <w:name w:val="annotation text"/>
    <w:basedOn w:val="1"/>
    <w:link w:val="217"/>
    <w:semiHidden/>
    <w:qFormat/>
    <w:uiPriority w:val="0"/>
    <w:pPr>
      <w:jc w:val="left"/>
    </w:pPr>
    <w:rPr>
      <w:sz w:val="20"/>
      <w:lang w:eastAsia="en-US"/>
    </w:rPr>
  </w:style>
  <w:style w:type="paragraph" w:styleId="17">
    <w:name w:val="Body Text 3"/>
    <w:basedOn w:val="1"/>
    <w:link w:val="218"/>
    <w:qFormat/>
    <w:uiPriority w:val="0"/>
    <w:rPr>
      <w:rFonts w:ascii="仿宋_GB2312" w:hAnsi="Arial" w:eastAsia="仿宋_GB2312"/>
      <w:sz w:val="32"/>
      <w:szCs w:val="32"/>
      <w:lang w:eastAsia="en-US"/>
    </w:rPr>
  </w:style>
  <w:style w:type="paragraph" w:styleId="18">
    <w:name w:val="Body Text"/>
    <w:basedOn w:val="1"/>
    <w:link w:val="219"/>
    <w:qFormat/>
    <w:uiPriority w:val="0"/>
    <w:rPr>
      <w:rFonts w:ascii="楷体_GB2312" w:hAnsi="Arial" w:eastAsia="楷体_GB2312"/>
      <w:sz w:val="28"/>
      <w:szCs w:val="28"/>
      <w:lang w:eastAsia="en-US"/>
    </w:rPr>
  </w:style>
  <w:style w:type="paragraph" w:styleId="19">
    <w:name w:val="Body Text Indent"/>
    <w:basedOn w:val="1"/>
    <w:link w:val="220"/>
    <w:qFormat/>
    <w:uiPriority w:val="0"/>
    <w:pPr>
      <w:ind w:firstLine="645"/>
    </w:pPr>
    <w:rPr>
      <w:rFonts w:ascii="楷体_GB2312" w:eastAsia="楷体_GB2312"/>
      <w:sz w:val="32"/>
      <w:szCs w:val="32"/>
      <w:lang w:eastAsia="en-US"/>
    </w:rPr>
  </w:style>
  <w:style w:type="paragraph" w:styleId="20">
    <w:name w:val="List 2"/>
    <w:basedOn w:val="1"/>
    <w:qFormat/>
    <w:uiPriority w:val="0"/>
    <w:pPr>
      <w:ind w:left="100" w:hanging="200"/>
    </w:pPr>
  </w:style>
  <w:style w:type="paragraph" w:styleId="21">
    <w:name w:val="toc 5"/>
    <w:basedOn w:val="1"/>
    <w:next w:val="1"/>
    <w:semiHidden/>
    <w:qFormat/>
    <w:uiPriority w:val="0"/>
    <w:pPr>
      <w:ind w:left="840"/>
      <w:jc w:val="left"/>
    </w:pPr>
  </w:style>
  <w:style w:type="paragraph" w:styleId="22">
    <w:name w:val="toc 3"/>
    <w:basedOn w:val="1"/>
    <w:next w:val="1"/>
    <w:semiHidden/>
    <w:qFormat/>
    <w:uiPriority w:val="0"/>
    <w:pPr>
      <w:ind w:left="420"/>
      <w:jc w:val="left"/>
    </w:pPr>
    <w:rPr>
      <w:i/>
      <w:iCs/>
      <w:szCs w:val="24"/>
    </w:rPr>
  </w:style>
  <w:style w:type="paragraph" w:styleId="23">
    <w:name w:val="Plain Text"/>
    <w:basedOn w:val="1"/>
    <w:link w:val="221"/>
    <w:qFormat/>
    <w:uiPriority w:val="0"/>
    <w:rPr>
      <w:rFonts w:ascii="宋体" w:hAnsi="Courier New"/>
      <w:sz w:val="20"/>
      <w:lang w:eastAsia="en-US"/>
    </w:rPr>
  </w:style>
  <w:style w:type="paragraph" w:styleId="24">
    <w:name w:val="toc 8"/>
    <w:basedOn w:val="1"/>
    <w:next w:val="1"/>
    <w:semiHidden/>
    <w:qFormat/>
    <w:uiPriority w:val="0"/>
    <w:pPr>
      <w:ind w:left="1470"/>
      <w:jc w:val="left"/>
    </w:pPr>
  </w:style>
  <w:style w:type="paragraph" w:styleId="25">
    <w:name w:val="Date"/>
    <w:basedOn w:val="1"/>
    <w:next w:val="1"/>
    <w:link w:val="222"/>
    <w:qFormat/>
    <w:uiPriority w:val="0"/>
    <w:rPr>
      <w:sz w:val="24"/>
      <w:szCs w:val="24"/>
      <w:lang w:eastAsia="en-US"/>
    </w:rPr>
  </w:style>
  <w:style w:type="paragraph" w:styleId="26">
    <w:name w:val="Body Text Indent 2"/>
    <w:basedOn w:val="1"/>
    <w:link w:val="223"/>
    <w:qFormat/>
    <w:uiPriority w:val="0"/>
    <w:pPr>
      <w:ind w:left="630" w:firstLine="645"/>
    </w:pPr>
    <w:rPr>
      <w:rFonts w:ascii="Arial" w:hAnsi="Arial" w:eastAsia="仿宋_GB2312"/>
      <w:sz w:val="32"/>
      <w:szCs w:val="32"/>
      <w:lang w:eastAsia="en-US"/>
    </w:rPr>
  </w:style>
  <w:style w:type="paragraph" w:styleId="27">
    <w:name w:val="endnote text"/>
    <w:basedOn w:val="1"/>
    <w:link w:val="204"/>
    <w:semiHidden/>
    <w:unhideWhenUsed/>
    <w:qFormat/>
    <w:uiPriority w:val="99"/>
    <w:rPr>
      <w:sz w:val="20"/>
    </w:rPr>
  </w:style>
  <w:style w:type="paragraph" w:styleId="28">
    <w:name w:val="Balloon Text"/>
    <w:basedOn w:val="1"/>
    <w:link w:val="224"/>
    <w:semiHidden/>
    <w:qFormat/>
    <w:uiPriority w:val="0"/>
    <w:rPr>
      <w:sz w:val="18"/>
      <w:szCs w:val="18"/>
      <w:lang w:eastAsia="en-US"/>
    </w:rPr>
  </w:style>
  <w:style w:type="paragraph" w:styleId="29">
    <w:name w:val="footer"/>
    <w:basedOn w:val="1"/>
    <w:link w:val="225"/>
    <w:qFormat/>
    <w:uiPriority w:val="0"/>
    <w:pPr>
      <w:tabs>
        <w:tab w:val="center" w:pos="4153"/>
        <w:tab w:val="right" w:pos="8306"/>
      </w:tabs>
      <w:jc w:val="left"/>
    </w:pPr>
    <w:rPr>
      <w:sz w:val="18"/>
      <w:szCs w:val="18"/>
      <w:lang w:eastAsia="en-US"/>
    </w:rPr>
  </w:style>
  <w:style w:type="paragraph" w:styleId="30">
    <w:name w:val="header"/>
    <w:basedOn w:val="1"/>
    <w:link w:val="226"/>
    <w:qFormat/>
    <w:uiPriority w:val="99"/>
    <w:pPr>
      <w:pBdr>
        <w:bottom w:val="single" w:color="000000" w:sz="6" w:space="1"/>
      </w:pBdr>
      <w:tabs>
        <w:tab w:val="center" w:pos="4153"/>
        <w:tab w:val="right" w:pos="8306"/>
      </w:tabs>
      <w:jc w:val="center"/>
    </w:pPr>
    <w:rPr>
      <w:sz w:val="18"/>
      <w:szCs w:val="18"/>
      <w:lang w:eastAsia="en-US"/>
    </w:rPr>
  </w:style>
  <w:style w:type="paragraph" w:styleId="31">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2">
    <w:name w:val="toc 4"/>
    <w:basedOn w:val="1"/>
    <w:next w:val="1"/>
    <w:semiHidden/>
    <w:qFormat/>
    <w:uiPriority w:val="0"/>
    <w:pPr>
      <w:ind w:left="630"/>
      <w:jc w:val="left"/>
    </w:pPr>
  </w:style>
  <w:style w:type="paragraph" w:styleId="33">
    <w:name w:val="Subtitle"/>
    <w:basedOn w:val="1"/>
    <w:next w:val="1"/>
    <w:link w:val="70"/>
    <w:qFormat/>
    <w:uiPriority w:val="11"/>
    <w:pPr>
      <w:spacing w:before="200" w:after="200"/>
    </w:pPr>
    <w:rPr>
      <w:sz w:val="24"/>
      <w:szCs w:val="24"/>
    </w:rPr>
  </w:style>
  <w:style w:type="paragraph" w:styleId="34">
    <w:name w:val="List"/>
    <w:basedOn w:val="1"/>
    <w:qFormat/>
    <w:uiPriority w:val="0"/>
    <w:pPr>
      <w:ind w:left="200" w:hanging="200"/>
    </w:pPr>
  </w:style>
  <w:style w:type="paragraph" w:styleId="35">
    <w:name w:val="footnote text"/>
    <w:basedOn w:val="1"/>
    <w:link w:val="203"/>
    <w:semiHidden/>
    <w:unhideWhenUsed/>
    <w:qFormat/>
    <w:uiPriority w:val="99"/>
    <w:pPr>
      <w:spacing w:after="40"/>
    </w:pPr>
    <w:rPr>
      <w:sz w:val="18"/>
    </w:rPr>
  </w:style>
  <w:style w:type="paragraph" w:styleId="36">
    <w:name w:val="toc 6"/>
    <w:basedOn w:val="1"/>
    <w:next w:val="1"/>
    <w:semiHidden/>
    <w:qFormat/>
    <w:uiPriority w:val="0"/>
    <w:pPr>
      <w:ind w:left="1050"/>
      <w:jc w:val="left"/>
    </w:pPr>
  </w:style>
  <w:style w:type="paragraph" w:styleId="37">
    <w:name w:val="Body Text Indent 3"/>
    <w:basedOn w:val="1"/>
    <w:link w:val="227"/>
    <w:qFormat/>
    <w:uiPriority w:val="0"/>
    <w:pPr>
      <w:ind w:left="645" w:firstLine="645"/>
    </w:pPr>
    <w:rPr>
      <w:rFonts w:ascii="Arial" w:hAnsi="Arial" w:eastAsia="仿宋_GB2312"/>
      <w:color w:val="FFFF00"/>
      <w:sz w:val="32"/>
      <w:szCs w:val="32"/>
      <w:lang w:eastAsia="en-US"/>
    </w:rPr>
  </w:style>
  <w:style w:type="paragraph" w:styleId="38">
    <w:name w:val="table of figures"/>
    <w:basedOn w:val="1"/>
    <w:next w:val="1"/>
    <w:semiHidden/>
    <w:qFormat/>
    <w:uiPriority w:val="0"/>
    <w:pPr>
      <w:ind w:left="840" w:hanging="420"/>
    </w:pPr>
  </w:style>
  <w:style w:type="paragraph" w:styleId="39">
    <w:name w:val="toc 2"/>
    <w:basedOn w:val="1"/>
    <w:next w:val="1"/>
    <w:semiHidden/>
    <w:qFormat/>
    <w:uiPriority w:val="0"/>
    <w:pPr>
      <w:ind w:left="210"/>
      <w:jc w:val="left"/>
    </w:pPr>
    <w:rPr>
      <w:smallCaps/>
      <w:szCs w:val="24"/>
    </w:rPr>
  </w:style>
  <w:style w:type="paragraph" w:styleId="40">
    <w:name w:val="toc 9"/>
    <w:basedOn w:val="1"/>
    <w:next w:val="1"/>
    <w:semiHidden/>
    <w:qFormat/>
    <w:uiPriority w:val="0"/>
    <w:pPr>
      <w:ind w:left="1680"/>
      <w:jc w:val="left"/>
    </w:pPr>
  </w:style>
  <w:style w:type="paragraph" w:styleId="41">
    <w:name w:val="Body Text 2"/>
    <w:basedOn w:val="1"/>
    <w:link w:val="228"/>
    <w:qFormat/>
    <w:uiPriority w:val="0"/>
    <w:pPr>
      <w:widowControl/>
      <w:jc w:val="center"/>
    </w:pPr>
    <w:rPr>
      <w:rFonts w:ascii="楷体_GB2312" w:eastAsia="楷体_GB2312"/>
      <w:sz w:val="28"/>
      <w:szCs w:val="28"/>
      <w:lang w:eastAsia="en-US"/>
    </w:rPr>
  </w:style>
  <w:style w:type="paragraph" w:styleId="4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3">
    <w:name w:val="index 1"/>
    <w:basedOn w:val="1"/>
    <w:next w:val="1"/>
    <w:semiHidden/>
    <w:qFormat/>
    <w:uiPriority w:val="0"/>
    <w:pPr>
      <w:spacing w:line="240" w:lineRule="atLeast"/>
    </w:pPr>
    <w:rPr>
      <w:b/>
      <w:bCs/>
    </w:rPr>
  </w:style>
  <w:style w:type="paragraph" w:styleId="44">
    <w:name w:val="Title"/>
    <w:basedOn w:val="1"/>
    <w:next w:val="1"/>
    <w:link w:val="69"/>
    <w:qFormat/>
    <w:uiPriority w:val="10"/>
    <w:pPr>
      <w:spacing w:before="300" w:after="200"/>
      <w:contextualSpacing/>
    </w:pPr>
    <w:rPr>
      <w:sz w:val="48"/>
      <w:szCs w:val="48"/>
    </w:rPr>
  </w:style>
  <w:style w:type="paragraph" w:styleId="45">
    <w:name w:val="annotation subject"/>
    <w:basedOn w:val="16"/>
    <w:next w:val="16"/>
    <w:link w:val="229"/>
    <w:semiHidden/>
    <w:qFormat/>
    <w:uiPriority w:val="0"/>
    <w:rPr>
      <w:b/>
      <w:bCs/>
    </w:rPr>
  </w:style>
  <w:style w:type="paragraph" w:styleId="46">
    <w:name w:val="Body Text First Indent"/>
    <w:basedOn w:val="1"/>
    <w:link w:val="230"/>
    <w:qFormat/>
    <w:uiPriority w:val="0"/>
    <w:pPr>
      <w:spacing w:line="360" w:lineRule="auto"/>
      <w:ind w:firstLine="200"/>
    </w:pPr>
    <w:rPr>
      <w:rFonts w:ascii="仿宋_GB2312" w:eastAsia="仿宋_GB2312"/>
      <w:sz w:val="30"/>
      <w:szCs w:val="30"/>
      <w:lang w:eastAsia="en-US"/>
    </w:rPr>
  </w:style>
  <w:style w:type="paragraph" w:styleId="47">
    <w:name w:val="Body Text First Indent 2"/>
    <w:basedOn w:val="19"/>
    <w:link w:val="231"/>
    <w:qFormat/>
    <w:uiPriority w:val="0"/>
    <w:pPr>
      <w:spacing w:line="360" w:lineRule="auto"/>
      <w:ind w:firstLine="420"/>
    </w:pPr>
    <w:rPr>
      <w:rFonts w:ascii="宋体" w:hAnsi="宋体" w:eastAsia="宋体"/>
      <w:szCs w:val="20"/>
    </w:rPr>
  </w:style>
  <w:style w:type="table" w:styleId="49">
    <w:name w:val="Table Grid"/>
    <w:basedOn w:val="4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51">
    <w:name w:val="Strong"/>
    <w:qFormat/>
    <w:uiPriority w:val="0"/>
    <w:rPr>
      <w:b/>
      <w:bCs/>
    </w:rPr>
  </w:style>
  <w:style w:type="character" w:styleId="52">
    <w:name w:val="endnote reference"/>
    <w:semiHidden/>
    <w:unhideWhenUsed/>
    <w:qFormat/>
    <w:uiPriority w:val="99"/>
    <w:rPr>
      <w:vertAlign w:val="superscript"/>
    </w:rPr>
  </w:style>
  <w:style w:type="character" w:styleId="53">
    <w:name w:val="page number"/>
    <w:qFormat/>
    <w:uiPriority w:val="0"/>
  </w:style>
  <w:style w:type="character" w:styleId="54">
    <w:name w:val="HTML Typewriter"/>
    <w:qFormat/>
    <w:uiPriority w:val="99"/>
    <w:rPr>
      <w:rFonts w:ascii="宋体" w:hAnsi="宋体" w:eastAsia="宋体" w:cs="宋体"/>
      <w:sz w:val="24"/>
      <w:szCs w:val="24"/>
    </w:rPr>
  </w:style>
  <w:style w:type="character" w:styleId="55">
    <w:name w:val="Hyperlink"/>
    <w:qFormat/>
    <w:uiPriority w:val="0"/>
    <w:rPr>
      <w:color w:val="0000FF"/>
      <w:u w:val="single"/>
    </w:rPr>
  </w:style>
  <w:style w:type="character" w:styleId="56">
    <w:name w:val="annotation reference"/>
    <w:semiHidden/>
    <w:qFormat/>
    <w:uiPriority w:val="0"/>
    <w:rPr>
      <w:sz w:val="21"/>
      <w:szCs w:val="21"/>
    </w:rPr>
  </w:style>
  <w:style w:type="character" w:styleId="57">
    <w:name w:val="footnote reference"/>
    <w:unhideWhenUsed/>
    <w:qFormat/>
    <w:uiPriority w:val="99"/>
    <w:rPr>
      <w:vertAlign w:val="superscript"/>
    </w:rPr>
  </w:style>
  <w:style w:type="character" w:customStyle="1" w:styleId="58">
    <w:name w:val="Heading 1 Char"/>
    <w:qFormat/>
    <w:uiPriority w:val="9"/>
    <w:rPr>
      <w:rFonts w:ascii="Arial" w:hAnsi="Arial" w:eastAsia="Arial" w:cs="Arial"/>
      <w:sz w:val="40"/>
      <w:szCs w:val="40"/>
    </w:rPr>
  </w:style>
  <w:style w:type="character" w:customStyle="1" w:styleId="59">
    <w:name w:val="Heading 2 Char"/>
    <w:qFormat/>
    <w:uiPriority w:val="9"/>
    <w:rPr>
      <w:rFonts w:ascii="Arial" w:hAnsi="Arial" w:eastAsia="Arial" w:cs="Arial"/>
      <w:sz w:val="34"/>
    </w:rPr>
  </w:style>
  <w:style w:type="character" w:customStyle="1" w:styleId="60">
    <w:name w:val="Heading 3 Char"/>
    <w:qFormat/>
    <w:uiPriority w:val="9"/>
    <w:rPr>
      <w:rFonts w:ascii="Arial" w:hAnsi="Arial" w:eastAsia="Arial" w:cs="Arial"/>
      <w:sz w:val="30"/>
      <w:szCs w:val="30"/>
    </w:rPr>
  </w:style>
  <w:style w:type="character" w:customStyle="1" w:styleId="61">
    <w:name w:val="Heading 4 Char"/>
    <w:qFormat/>
    <w:uiPriority w:val="9"/>
    <w:rPr>
      <w:rFonts w:ascii="Arial" w:hAnsi="Arial" w:eastAsia="Arial" w:cs="Arial"/>
      <w:b/>
      <w:bCs/>
      <w:sz w:val="26"/>
      <w:szCs w:val="26"/>
    </w:rPr>
  </w:style>
  <w:style w:type="character" w:customStyle="1" w:styleId="62">
    <w:name w:val="Heading 5 Char"/>
    <w:qFormat/>
    <w:uiPriority w:val="9"/>
    <w:rPr>
      <w:rFonts w:ascii="Arial" w:hAnsi="Arial" w:eastAsia="Arial" w:cs="Arial"/>
      <w:b/>
      <w:bCs/>
      <w:sz w:val="24"/>
      <w:szCs w:val="24"/>
    </w:rPr>
  </w:style>
  <w:style w:type="character" w:customStyle="1" w:styleId="63">
    <w:name w:val="Heading 6 Char"/>
    <w:qFormat/>
    <w:uiPriority w:val="9"/>
    <w:rPr>
      <w:rFonts w:ascii="Arial" w:hAnsi="Arial" w:eastAsia="Arial" w:cs="Arial"/>
      <w:b/>
      <w:bCs/>
      <w:sz w:val="22"/>
      <w:szCs w:val="22"/>
    </w:rPr>
  </w:style>
  <w:style w:type="character" w:customStyle="1" w:styleId="64">
    <w:name w:val="Heading 7 Char"/>
    <w:qFormat/>
    <w:uiPriority w:val="9"/>
    <w:rPr>
      <w:rFonts w:ascii="Arial" w:hAnsi="Arial" w:eastAsia="Arial" w:cs="Arial"/>
      <w:b/>
      <w:bCs/>
      <w:i/>
      <w:iCs/>
      <w:sz w:val="22"/>
      <w:szCs w:val="22"/>
    </w:rPr>
  </w:style>
  <w:style w:type="character" w:customStyle="1" w:styleId="65">
    <w:name w:val="Heading 8 Char"/>
    <w:qFormat/>
    <w:uiPriority w:val="9"/>
    <w:rPr>
      <w:rFonts w:ascii="Arial" w:hAnsi="Arial" w:eastAsia="Arial" w:cs="Arial"/>
      <w:i/>
      <w:iCs/>
      <w:sz w:val="22"/>
      <w:szCs w:val="22"/>
    </w:rPr>
  </w:style>
  <w:style w:type="character" w:customStyle="1" w:styleId="66">
    <w:name w:val="Heading 9 Char"/>
    <w:qFormat/>
    <w:uiPriority w:val="9"/>
    <w:rPr>
      <w:rFonts w:ascii="Arial" w:hAnsi="Arial" w:eastAsia="Arial" w:cs="Arial"/>
      <w:i/>
      <w:iCs/>
      <w:sz w:val="21"/>
      <w:szCs w:val="21"/>
    </w:rPr>
  </w:style>
  <w:style w:type="paragraph" w:styleId="67">
    <w:name w:val="List Paragraph"/>
    <w:basedOn w:val="1"/>
    <w:qFormat/>
    <w:uiPriority w:val="99"/>
    <w:pPr>
      <w:widowControl/>
      <w:ind w:left="720"/>
      <w:contextualSpacing/>
      <w:jc w:val="left"/>
    </w:pPr>
    <w:rPr>
      <w:rFonts w:ascii="Calibri" w:hAnsi="Calibri"/>
      <w:sz w:val="24"/>
      <w:szCs w:val="24"/>
      <w:lang w:eastAsia="en-US" w:bidi="en-US"/>
    </w:rPr>
  </w:style>
  <w:style w:type="paragraph" w:styleId="68">
    <w:name w:val="No Spacing"/>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69">
    <w:name w:val="标题 Char"/>
    <w:link w:val="44"/>
    <w:qFormat/>
    <w:uiPriority w:val="10"/>
    <w:rPr>
      <w:sz w:val="48"/>
      <w:szCs w:val="48"/>
    </w:rPr>
  </w:style>
  <w:style w:type="character" w:customStyle="1" w:styleId="70">
    <w:name w:val="副标题 Char"/>
    <w:link w:val="33"/>
    <w:qFormat/>
    <w:uiPriority w:val="11"/>
    <w:rPr>
      <w:sz w:val="24"/>
      <w:szCs w:val="24"/>
    </w:rPr>
  </w:style>
  <w:style w:type="paragraph" w:styleId="71">
    <w:name w:val="Quote"/>
    <w:basedOn w:val="1"/>
    <w:next w:val="1"/>
    <w:link w:val="72"/>
    <w:qFormat/>
    <w:uiPriority w:val="29"/>
    <w:pPr>
      <w:ind w:left="720" w:right="720"/>
    </w:pPr>
    <w:rPr>
      <w:i/>
    </w:rPr>
  </w:style>
  <w:style w:type="character" w:customStyle="1" w:styleId="72">
    <w:name w:val="引用 Char"/>
    <w:link w:val="71"/>
    <w:qFormat/>
    <w:uiPriority w:val="29"/>
    <w:rPr>
      <w:i/>
    </w:rPr>
  </w:style>
  <w:style w:type="paragraph" w:styleId="73">
    <w:name w:val="Intense Quote"/>
    <w:basedOn w:val="1"/>
    <w:next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4">
    <w:name w:val="明显引用 Char"/>
    <w:link w:val="73"/>
    <w:qFormat/>
    <w:uiPriority w:val="30"/>
    <w:rPr>
      <w:i/>
    </w:rPr>
  </w:style>
  <w:style w:type="character" w:customStyle="1" w:styleId="75">
    <w:name w:val="Header Char"/>
    <w:qFormat/>
    <w:uiPriority w:val="99"/>
  </w:style>
  <w:style w:type="character" w:customStyle="1" w:styleId="76">
    <w:name w:val="Footer Char"/>
    <w:qFormat/>
    <w:uiPriority w:val="99"/>
  </w:style>
  <w:style w:type="character" w:customStyle="1" w:styleId="77">
    <w:name w:val="Caption Char"/>
    <w:qFormat/>
    <w:uiPriority w:val="99"/>
  </w:style>
  <w:style w:type="table" w:customStyle="1" w:styleId="78">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9">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80">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81">
    <w:name w:val="无格式表格 31"/>
    <w:qFormat/>
    <w:uiPriority w:val="99"/>
    <w:tblPr>
      <w:tblCellMar>
        <w:top w:w="0" w:type="dxa"/>
        <w:left w:w="0" w:type="dxa"/>
        <w:bottom w:w="0" w:type="dxa"/>
        <w:right w:w="0" w:type="dxa"/>
      </w:tblCellMar>
    </w:tblPr>
  </w:style>
  <w:style w:type="table" w:customStyle="1" w:styleId="82">
    <w:name w:val="无格式表格 41"/>
    <w:qFormat/>
    <w:uiPriority w:val="99"/>
    <w:tblPr>
      <w:tblCellMar>
        <w:top w:w="0" w:type="dxa"/>
        <w:left w:w="0" w:type="dxa"/>
        <w:bottom w:w="0" w:type="dxa"/>
        <w:right w:w="0" w:type="dxa"/>
      </w:tblCellMar>
    </w:tblPr>
  </w:style>
  <w:style w:type="table" w:customStyle="1" w:styleId="83">
    <w:name w:val="无格式表格 51"/>
    <w:qFormat/>
    <w:uiPriority w:val="99"/>
    <w:tblPr>
      <w:tblCellMar>
        <w:top w:w="0" w:type="dxa"/>
        <w:left w:w="0" w:type="dxa"/>
        <w:bottom w:w="0" w:type="dxa"/>
        <w:right w:w="0" w:type="dxa"/>
      </w:tblCellMar>
    </w:tblPr>
  </w:style>
  <w:style w:type="table" w:customStyle="1" w:styleId="84">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85">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86">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87">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88">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89">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90">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91">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2">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93">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94">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95">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96">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97">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9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99">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100">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1">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2">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3">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4">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5">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106">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107">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108">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109">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110">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1">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2">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3">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4">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5">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6">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7">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8">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119">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0">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1">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2">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23">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24">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25">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26">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27">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28">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29">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30">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31">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32">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33">
    <w:name w:val="清单表 1 浅色1"/>
    <w:qFormat/>
    <w:uiPriority w:val="99"/>
    <w:tblPr>
      <w:tblCellMar>
        <w:top w:w="0" w:type="dxa"/>
        <w:left w:w="0" w:type="dxa"/>
        <w:bottom w:w="0" w:type="dxa"/>
        <w:right w:w="0" w:type="dxa"/>
      </w:tblCellMar>
    </w:tblPr>
  </w:style>
  <w:style w:type="table" w:customStyle="1" w:styleId="134">
    <w:name w:val="List Table 1 Light - Accent 1"/>
    <w:qFormat/>
    <w:uiPriority w:val="99"/>
    <w:tblPr>
      <w:tblCellMar>
        <w:top w:w="0" w:type="dxa"/>
        <w:left w:w="0" w:type="dxa"/>
        <w:bottom w:w="0" w:type="dxa"/>
        <w:right w:w="0" w:type="dxa"/>
      </w:tblCellMar>
    </w:tblPr>
  </w:style>
  <w:style w:type="table" w:customStyle="1" w:styleId="135">
    <w:name w:val="List Table 1 Light - Accent 2"/>
    <w:qFormat/>
    <w:uiPriority w:val="99"/>
    <w:tblPr>
      <w:tblCellMar>
        <w:top w:w="0" w:type="dxa"/>
        <w:left w:w="0" w:type="dxa"/>
        <w:bottom w:w="0" w:type="dxa"/>
        <w:right w:w="0" w:type="dxa"/>
      </w:tblCellMar>
    </w:tblPr>
  </w:style>
  <w:style w:type="table" w:customStyle="1" w:styleId="136">
    <w:name w:val="List Table 1 Light - Accent 3"/>
    <w:qFormat/>
    <w:uiPriority w:val="99"/>
    <w:tblPr>
      <w:tblCellMar>
        <w:top w:w="0" w:type="dxa"/>
        <w:left w:w="0" w:type="dxa"/>
        <w:bottom w:w="0" w:type="dxa"/>
        <w:right w:w="0" w:type="dxa"/>
      </w:tblCellMar>
    </w:tblPr>
  </w:style>
  <w:style w:type="table" w:customStyle="1" w:styleId="137">
    <w:name w:val="List Table 1 Light - Accent 4"/>
    <w:qFormat/>
    <w:uiPriority w:val="99"/>
    <w:tblPr>
      <w:tblCellMar>
        <w:top w:w="0" w:type="dxa"/>
        <w:left w:w="0" w:type="dxa"/>
        <w:bottom w:w="0" w:type="dxa"/>
        <w:right w:w="0" w:type="dxa"/>
      </w:tblCellMar>
    </w:tblPr>
  </w:style>
  <w:style w:type="table" w:customStyle="1" w:styleId="138">
    <w:name w:val="List Table 1 Light - Accent 5"/>
    <w:qFormat/>
    <w:uiPriority w:val="99"/>
    <w:tblPr>
      <w:tblCellMar>
        <w:top w:w="0" w:type="dxa"/>
        <w:left w:w="0" w:type="dxa"/>
        <w:bottom w:w="0" w:type="dxa"/>
        <w:right w:w="0" w:type="dxa"/>
      </w:tblCellMar>
    </w:tblPr>
  </w:style>
  <w:style w:type="table" w:customStyle="1" w:styleId="139">
    <w:name w:val="List Table 1 Light - Accent 6"/>
    <w:qFormat/>
    <w:uiPriority w:val="99"/>
    <w:tblPr>
      <w:tblCellMar>
        <w:top w:w="0" w:type="dxa"/>
        <w:left w:w="0" w:type="dxa"/>
        <w:bottom w:w="0" w:type="dxa"/>
        <w:right w:w="0" w:type="dxa"/>
      </w:tblCellMar>
    </w:tblPr>
  </w:style>
  <w:style w:type="table" w:customStyle="1" w:styleId="140">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41">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42">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43">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44">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45">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46">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47">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48">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49">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50">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51">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52">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53">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54">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55">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56">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57">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58">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59">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60">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61">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62">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63">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64">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65">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66">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67">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6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69">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70">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71">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72">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73">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74">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75">
    <w:name w:val="清单表 7 彩色1"/>
    <w:qFormat/>
    <w:uiPriority w:val="99"/>
    <w:tblPr>
      <w:tblBorders>
        <w:right w:val="single" w:color="7F7F7F" w:sz="4" w:space="0"/>
      </w:tblBorders>
      <w:tblCellMar>
        <w:top w:w="0" w:type="dxa"/>
        <w:left w:w="0" w:type="dxa"/>
        <w:bottom w:w="0" w:type="dxa"/>
        <w:right w:w="0" w:type="dxa"/>
      </w:tblCellMar>
    </w:tblPr>
  </w:style>
  <w:style w:type="table" w:customStyle="1" w:styleId="176">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77">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78">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79">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80">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81">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82">
    <w:name w:val="Lined - Accent"/>
    <w:qFormat/>
    <w:uiPriority w:val="99"/>
    <w:rPr>
      <w:color w:val="404040"/>
    </w:rPr>
    <w:tblPr>
      <w:tblCellMar>
        <w:top w:w="0" w:type="dxa"/>
        <w:left w:w="0" w:type="dxa"/>
        <w:bottom w:w="0" w:type="dxa"/>
        <w:right w:w="0" w:type="dxa"/>
      </w:tblCellMar>
    </w:tblPr>
  </w:style>
  <w:style w:type="table" w:customStyle="1" w:styleId="183">
    <w:name w:val="Lined - Accent 1"/>
    <w:qFormat/>
    <w:uiPriority w:val="99"/>
    <w:rPr>
      <w:color w:val="404040"/>
    </w:rPr>
    <w:tblPr>
      <w:tblCellMar>
        <w:top w:w="0" w:type="dxa"/>
        <w:left w:w="0" w:type="dxa"/>
        <w:bottom w:w="0" w:type="dxa"/>
        <w:right w:w="0" w:type="dxa"/>
      </w:tblCellMar>
    </w:tblPr>
  </w:style>
  <w:style w:type="table" w:customStyle="1" w:styleId="184">
    <w:name w:val="Lined - Accent 2"/>
    <w:qFormat/>
    <w:uiPriority w:val="99"/>
    <w:rPr>
      <w:color w:val="404040"/>
    </w:rPr>
    <w:tblPr>
      <w:tblCellMar>
        <w:top w:w="0" w:type="dxa"/>
        <w:left w:w="0" w:type="dxa"/>
        <w:bottom w:w="0" w:type="dxa"/>
        <w:right w:w="0" w:type="dxa"/>
      </w:tblCellMar>
    </w:tblPr>
  </w:style>
  <w:style w:type="table" w:customStyle="1" w:styleId="185">
    <w:name w:val="Lined - Accent 3"/>
    <w:qFormat/>
    <w:uiPriority w:val="99"/>
    <w:rPr>
      <w:color w:val="404040"/>
    </w:rPr>
    <w:tblPr>
      <w:tblCellMar>
        <w:top w:w="0" w:type="dxa"/>
        <w:left w:w="0" w:type="dxa"/>
        <w:bottom w:w="0" w:type="dxa"/>
        <w:right w:w="0" w:type="dxa"/>
      </w:tblCellMar>
    </w:tblPr>
  </w:style>
  <w:style w:type="table" w:customStyle="1" w:styleId="186">
    <w:name w:val="Lined - Accent 4"/>
    <w:qFormat/>
    <w:uiPriority w:val="99"/>
    <w:rPr>
      <w:color w:val="404040"/>
    </w:rPr>
    <w:tblPr>
      <w:tblCellMar>
        <w:top w:w="0" w:type="dxa"/>
        <w:left w:w="0" w:type="dxa"/>
        <w:bottom w:w="0" w:type="dxa"/>
        <w:right w:w="0" w:type="dxa"/>
      </w:tblCellMar>
    </w:tblPr>
  </w:style>
  <w:style w:type="table" w:customStyle="1" w:styleId="187">
    <w:name w:val="Lined - Accent 5"/>
    <w:qFormat/>
    <w:uiPriority w:val="99"/>
    <w:rPr>
      <w:color w:val="404040"/>
    </w:rPr>
    <w:tblPr>
      <w:tblCellMar>
        <w:top w:w="0" w:type="dxa"/>
        <w:left w:w="0" w:type="dxa"/>
        <w:bottom w:w="0" w:type="dxa"/>
        <w:right w:w="0" w:type="dxa"/>
      </w:tblCellMar>
    </w:tblPr>
  </w:style>
  <w:style w:type="table" w:customStyle="1" w:styleId="188">
    <w:name w:val="Lined - Accent 6"/>
    <w:qFormat/>
    <w:uiPriority w:val="99"/>
    <w:rPr>
      <w:color w:val="404040"/>
    </w:rPr>
    <w:tblPr>
      <w:tblCellMar>
        <w:top w:w="0" w:type="dxa"/>
        <w:left w:w="0" w:type="dxa"/>
        <w:bottom w:w="0" w:type="dxa"/>
        <w:right w:w="0" w:type="dxa"/>
      </w:tblCellMar>
    </w:tblPr>
  </w:style>
  <w:style w:type="table" w:customStyle="1" w:styleId="189">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90">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91">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92">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93">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94">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95">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96">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97">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98">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99">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200">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201">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202">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203">
    <w:name w:val="脚注文本 Char"/>
    <w:link w:val="35"/>
    <w:qFormat/>
    <w:uiPriority w:val="99"/>
    <w:rPr>
      <w:sz w:val="18"/>
    </w:rPr>
  </w:style>
  <w:style w:type="character" w:customStyle="1" w:styleId="204">
    <w:name w:val="尾注文本 Char"/>
    <w:link w:val="27"/>
    <w:qFormat/>
    <w:uiPriority w:val="99"/>
    <w:rPr>
      <w:sz w:val="20"/>
    </w:rPr>
  </w:style>
  <w:style w:type="paragraph" w:customStyle="1" w:styleId="205">
    <w:name w:val="TOC 标题1"/>
    <w:unhideWhenUsed/>
    <w:qFormat/>
    <w:uiPriority w:val="39"/>
    <w:rPr>
      <w:rFonts w:ascii="Calibri" w:hAnsi="Calibri" w:eastAsia="宋体" w:cs="Times New Roman"/>
      <w:lang w:val="en-US" w:eastAsia="zh-CN" w:bidi="ar-SA"/>
    </w:rPr>
  </w:style>
  <w:style w:type="character" w:customStyle="1" w:styleId="206">
    <w:name w:val="标题 1 Char"/>
    <w:link w:val="2"/>
    <w:qFormat/>
    <w:uiPriority w:val="0"/>
    <w:rPr>
      <w:rFonts w:ascii="楷体_GB2312" w:hAnsi="Times New Roman" w:eastAsia="楷体_GB2312" w:cs="Times New Roman"/>
      <w:sz w:val="28"/>
      <w:szCs w:val="28"/>
    </w:rPr>
  </w:style>
  <w:style w:type="character" w:customStyle="1" w:styleId="207">
    <w:name w:val="标题 2 Char"/>
    <w:link w:val="3"/>
    <w:qFormat/>
    <w:uiPriority w:val="0"/>
    <w:rPr>
      <w:rFonts w:ascii="Arial" w:hAnsi="Arial" w:eastAsia="幼圆" w:cs="Arial"/>
      <w:b/>
      <w:bCs/>
      <w:sz w:val="44"/>
      <w:szCs w:val="44"/>
    </w:rPr>
  </w:style>
  <w:style w:type="character" w:customStyle="1" w:styleId="208">
    <w:name w:val="正文缩进 Char"/>
    <w:link w:val="4"/>
    <w:qFormat/>
    <w:uiPriority w:val="0"/>
    <w:rPr>
      <w:rFonts w:ascii="Times New Roman" w:hAnsi="Times New Roman" w:eastAsia="宋体" w:cs="Times New Roman"/>
      <w:szCs w:val="21"/>
    </w:rPr>
  </w:style>
  <w:style w:type="character" w:customStyle="1" w:styleId="209">
    <w:name w:val="标题 3 Char"/>
    <w:link w:val="5"/>
    <w:qFormat/>
    <w:uiPriority w:val="0"/>
    <w:rPr>
      <w:rFonts w:ascii="Times New Roman" w:hAnsi="Times New Roman" w:eastAsia="宋体" w:cs="Times New Roman"/>
      <w:b/>
      <w:bCs/>
      <w:sz w:val="32"/>
      <w:szCs w:val="32"/>
    </w:rPr>
  </w:style>
  <w:style w:type="character" w:customStyle="1" w:styleId="210">
    <w:name w:val="标题 4 Char"/>
    <w:link w:val="6"/>
    <w:qFormat/>
    <w:uiPriority w:val="0"/>
    <w:rPr>
      <w:rFonts w:ascii="Arial" w:hAnsi="Arial" w:eastAsia="黑体" w:cs="Arial"/>
      <w:b/>
      <w:bCs/>
      <w:sz w:val="28"/>
      <w:szCs w:val="28"/>
    </w:rPr>
  </w:style>
  <w:style w:type="character" w:customStyle="1" w:styleId="211">
    <w:name w:val="标题 5 Char"/>
    <w:link w:val="7"/>
    <w:qFormat/>
    <w:uiPriority w:val="0"/>
    <w:rPr>
      <w:rFonts w:ascii="宋体" w:hAnsi="Times New Roman" w:eastAsia="宋体" w:cs="Times New Roman"/>
      <w:color w:val="000000"/>
      <w:sz w:val="28"/>
      <w:szCs w:val="28"/>
    </w:rPr>
  </w:style>
  <w:style w:type="character" w:customStyle="1" w:styleId="212">
    <w:name w:val="标题 6 Char"/>
    <w:link w:val="8"/>
    <w:qFormat/>
    <w:uiPriority w:val="0"/>
    <w:rPr>
      <w:rFonts w:ascii="Arial" w:hAnsi="Arial" w:eastAsia="黑体" w:cs="Times New Roman"/>
      <w:b/>
      <w:bCs/>
      <w:sz w:val="24"/>
      <w:szCs w:val="24"/>
    </w:rPr>
  </w:style>
  <w:style w:type="character" w:customStyle="1" w:styleId="213">
    <w:name w:val="标题 7 Char"/>
    <w:link w:val="9"/>
    <w:qFormat/>
    <w:uiPriority w:val="0"/>
    <w:rPr>
      <w:rFonts w:ascii="Times New Roman" w:hAnsi="Times New Roman" w:eastAsia="宋体" w:cs="Times New Roman"/>
      <w:b/>
      <w:bCs/>
      <w:sz w:val="24"/>
      <w:szCs w:val="24"/>
    </w:rPr>
  </w:style>
  <w:style w:type="character" w:customStyle="1" w:styleId="214">
    <w:name w:val="标题 8 Char"/>
    <w:link w:val="10"/>
    <w:qFormat/>
    <w:uiPriority w:val="0"/>
    <w:rPr>
      <w:rFonts w:ascii="Arial" w:hAnsi="Arial" w:eastAsia="黑体" w:cs="Times New Roman"/>
      <w:sz w:val="24"/>
      <w:szCs w:val="24"/>
    </w:rPr>
  </w:style>
  <w:style w:type="character" w:customStyle="1" w:styleId="215">
    <w:name w:val="标题 9 Char"/>
    <w:link w:val="11"/>
    <w:qFormat/>
    <w:uiPriority w:val="0"/>
    <w:rPr>
      <w:rFonts w:ascii="Arial" w:hAnsi="Arial" w:eastAsia="黑体" w:cs="Times New Roman"/>
      <w:szCs w:val="21"/>
    </w:rPr>
  </w:style>
  <w:style w:type="character" w:customStyle="1" w:styleId="216">
    <w:name w:val="文档结构图 Char"/>
    <w:link w:val="15"/>
    <w:semiHidden/>
    <w:qFormat/>
    <w:uiPriority w:val="0"/>
    <w:rPr>
      <w:rFonts w:ascii="Times New Roman" w:hAnsi="Times New Roman" w:eastAsia="宋体" w:cs="Times New Roman"/>
      <w:szCs w:val="21"/>
      <w:shd w:val="clear" w:color="auto" w:fill="000080"/>
    </w:rPr>
  </w:style>
  <w:style w:type="character" w:customStyle="1" w:styleId="217">
    <w:name w:val="批注文字 Char"/>
    <w:link w:val="16"/>
    <w:semiHidden/>
    <w:qFormat/>
    <w:uiPriority w:val="0"/>
    <w:rPr>
      <w:rFonts w:ascii="Times New Roman" w:hAnsi="Times New Roman" w:eastAsia="宋体" w:cs="Times New Roman"/>
      <w:szCs w:val="21"/>
    </w:rPr>
  </w:style>
  <w:style w:type="character" w:customStyle="1" w:styleId="218">
    <w:name w:val="正文文本 3 Char"/>
    <w:link w:val="17"/>
    <w:qFormat/>
    <w:uiPriority w:val="0"/>
    <w:rPr>
      <w:rFonts w:ascii="仿宋_GB2312" w:hAnsi="Arial" w:eastAsia="仿宋_GB2312" w:cs="Times New Roman"/>
      <w:sz w:val="32"/>
      <w:szCs w:val="32"/>
    </w:rPr>
  </w:style>
  <w:style w:type="character" w:customStyle="1" w:styleId="219">
    <w:name w:val="正文文本 Char"/>
    <w:link w:val="18"/>
    <w:qFormat/>
    <w:uiPriority w:val="0"/>
    <w:rPr>
      <w:rFonts w:ascii="楷体_GB2312" w:hAnsi="Arial" w:eastAsia="楷体_GB2312" w:cs="Times New Roman"/>
      <w:sz w:val="28"/>
      <w:szCs w:val="28"/>
    </w:rPr>
  </w:style>
  <w:style w:type="character" w:customStyle="1" w:styleId="220">
    <w:name w:val="正文文本缩进 Char"/>
    <w:link w:val="19"/>
    <w:qFormat/>
    <w:uiPriority w:val="0"/>
    <w:rPr>
      <w:rFonts w:ascii="楷体_GB2312" w:hAnsi="Times New Roman" w:eastAsia="楷体_GB2312" w:cs="Times New Roman"/>
      <w:sz w:val="32"/>
      <w:szCs w:val="32"/>
    </w:rPr>
  </w:style>
  <w:style w:type="character" w:customStyle="1" w:styleId="221">
    <w:name w:val="纯文本 Char"/>
    <w:link w:val="23"/>
    <w:qFormat/>
    <w:uiPriority w:val="0"/>
    <w:rPr>
      <w:rFonts w:ascii="宋体" w:hAnsi="Courier New" w:eastAsia="宋体" w:cs="Courier New"/>
      <w:szCs w:val="21"/>
    </w:rPr>
  </w:style>
  <w:style w:type="character" w:customStyle="1" w:styleId="222">
    <w:name w:val="日期 Char"/>
    <w:link w:val="25"/>
    <w:qFormat/>
    <w:uiPriority w:val="0"/>
    <w:rPr>
      <w:rFonts w:ascii="Times New Roman" w:hAnsi="Times New Roman" w:eastAsia="宋体" w:cs="Times New Roman"/>
      <w:sz w:val="24"/>
      <w:szCs w:val="24"/>
    </w:rPr>
  </w:style>
  <w:style w:type="character" w:customStyle="1" w:styleId="223">
    <w:name w:val="正文文本缩进 2 Char"/>
    <w:link w:val="26"/>
    <w:qFormat/>
    <w:uiPriority w:val="0"/>
    <w:rPr>
      <w:rFonts w:ascii="Arial" w:hAnsi="Arial" w:eastAsia="仿宋_GB2312" w:cs="Arial"/>
      <w:sz w:val="32"/>
      <w:szCs w:val="32"/>
    </w:rPr>
  </w:style>
  <w:style w:type="character" w:customStyle="1" w:styleId="224">
    <w:name w:val="批注框文本 Char"/>
    <w:link w:val="28"/>
    <w:semiHidden/>
    <w:qFormat/>
    <w:uiPriority w:val="0"/>
    <w:rPr>
      <w:rFonts w:ascii="Times New Roman" w:hAnsi="Times New Roman" w:eastAsia="宋体" w:cs="Times New Roman"/>
      <w:sz w:val="18"/>
      <w:szCs w:val="18"/>
    </w:rPr>
  </w:style>
  <w:style w:type="character" w:customStyle="1" w:styleId="225">
    <w:name w:val="页脚 Char"/>
    <w:link w:val="29"/>
    <w:qFormat/>
    <w:uiPriority w:val="0"/>
    <w:rPr>
      <w:rFonts w:ascii="Times New Roman" w:hAnsi="Times New Roman" w:eastAsia="宋体" w:cs="Times New Roman"/>
      <w:sz w:val="18"/>
      <w:szCs w:val="18"/>
    </w:rPr>
  </w:style>
  <w:style w:type="character" w:customStyle="1" w:styleId="226">
    <w:name w:val="页眉 Char"/>
    <w:link w:val="30"/>
    <w:qFormat/>
    <w:uiPriority w:val="99"/>
    <w:rPr>
      <w:rFonts w:ascii="Times New Roman" w:hAnsi="Times New Roman" w:eastAsia="宋体" w:cs="Times New Roman"/>
      <w:sz w:val="18"/>
      <w:szCs w:val="18"/>
    </w:rPr>
  </w:style>
  <w:style w:type="character" w:customStyle="1" w:styleId="227">
    <w:name w:val="正文文本缩进 3 Char"/>
    <w:link w:val="37"/>
    <w:qFormat/>
    <w:uiPriority w:val="0"/>
    <w:rPr>
      <w:rFonts w:ascii="Arial" w:hAnsi="Arial" w:eastAsia="仿宋_GB2312" w:cs="Arial"/>
      <w:color w:val="FFFF00"/>
      <w:sz w:val="32"/>
      <w:szCs w:val="32"/>
    </w:rPr>
  </w:style>
  <w:style w:type="character" w:customStyle="1" w:styleId="228">
    <w:name w:val="正文文本 2 Char"/>
    <w:link w:val="41"/>
    <w:qFormat/>
    <w:uiPriority w:val="0"/>
    <w:rPr>
      <w:rFonts w:ascii="楷体_GB2312" w:hAnsi="Times New Roman" w:eastAsia="楷体_GB2312" w:cs="Times New Roman"/>
      <w:sz w:val="28"/>
      <w:szCs w:val="28"/>
    </w:rPr>
  </w:style>
  <w:style w:type="character" w:customStyle="1" w:styleId="229">
    <w:name w:val="批注主题 Char"/>
    <w:link w:val="45"/>
    <w:semiHidden/>
    <w:qFormat/>
    <w:uiPriority w:val="0"/>
    <w:rPr>
      <w:rFonts w:ascii="Times New Roman" w:hAnsi="Times New Roman" w:eastAsia="宋体" w:cs="Times New Roman"/>
      <w:b/>
      <w:bCs/>
      <w:szCs w:val="21"/>
    </w:rPr>
  </w:style>
  <w:style w:type="character" w:customStyle="1" w:styleId="230">
    <w:name w:val="正文首行缩进 Char"/>
    <w:link w:val="46"/>
    <w:qFormat/>
    <w:uiPriority w:val="0"/>
    <w:rPr>
      <w:rFonts w:ascii="仿宋_GB2312" w:hAnsi="Times New Roman" w:eastAsia="仿宋_GB2312" w:cs="Times New Roman"/>
      <w:sz w:val="30"/>
      <w:szCs w:val="30"/>
    </w:rPr>
  </w:style>
  <w:style w:type="character" w:customStyle="1" w:styleId="231">
    <w:name w:val="正文首行缩进 2 Char"/>
    <w:link w:val="47"/>
    <w:qFormat/>
    <w:uiPriority w:val="0"/>
    <w:rPr>
      <w:rFonts w:ascii="宋体" w:hAnsi="宋体" w:eastAsia="宋体" w:cs="Times New Roman"/>
      <w:sz w:val="32"/>
      <w:szCs w:val="20"/>
    </w:rPr>
  </w:style>
  <w:style w:type="character" w:customStyle="1" w:styleId="232">
    <w:name w:val="已访问的超链接1"/>
    <w:qFormat/>
    <w:uiPriority w:val="0"/>
    <w:rPr>
      <w:color w:val="800080"/>
      <w:u w:val="single"/>
    </w:rPr>
  </w:style>
  <w:style w:type="character" w:customStyle="1" w:styleId="233">
    <w:name w:val="font5 Char"/>
    <w:qFormat/>
    <w:uiPriority w:val="0"/>
    <w:rPr>
      <w:rFonts w:ascii="宋体" w:hAnsi="宋体" w:eastAsia="宋体"/>
      <w:sz w:val="28"/>
      <w:szCs w:val="28"/>
      <w:lang w:val="en-US" w:eastAsia="zh-CN" w:bidi="ar-SA"/>
    </w:rPr>
  </w:style>
  <w:style w:type="character" w:customStyle="1" w:styleId="234">
    <w:name w:val="二级目录 Char"/>
    <w:link w:val="235"/>
    <w:qFormat/>
    <w:uiPriority w:val="0"/>
    <w:rPr>
      <w:b/>
      <w:sz w:val="30"/>
      <w:szCs w:val="28"/>
      <w:lang w:val="en-US" w:eastAsia="zh-CN" w:bidi="ar-SA"/>
    </w:rPr>
  </w:style>
  <w:style w:type="paragraph" w:customStyle="1" w:styleId="235">
    <w:name w:val="二级目录"/>
    <w:next w:val="1"/>
    <w:link w:val="234"/>
    <w:qFormat/>
    <w:uiPriority w:val="0"/>
    <w:pPr>
      <w:numPr>
        <w:ilvl w:val="0"/>
        <w:numId w:val="2"/>
      </w:numPr>
      <w:tabs>
        <w:tab w:val="left" w:pos="1145"/>
      </w:tabs>
      <w:outlineLvl w:val="1"/>
    </w:pPr>
    <w:rPr>
      <w:rFonts w:ascii="Calibri" w:hAnsi="Calibri" w:eastAsia="宋体" w:cs="Times New Roman"/>
      <w:b/>
      <w:sz w:val="30"/>
      <w:szCs w:val="28"/>
      <w:lang w:val="en-US" w:eastAsia="zh-CN" w:bidi="ar-SA"/>
    </w:rPr>
  </w:style>
  <w:style w:type="character" w:customStyle="1" w:styleId="236">
    <w:name w:val="列出段落 Char"/>
    <w:link w:val="237"/>
    <w:qFormat/>
    <w:uiPriority w:val="0"/>
    <w:rPr>
      <w:rFonts w:ascii="Calibri" w:hAnsi="Calibri"/>
      <w:sz w:val="24"/>
      <w:szCs w:val="24"/>
      <w:lang w:eastAsia="en-US" w:bidi="en-US"/>
    </w:rPr>
  </w:style>
  <w:style w:type="paragraph" w:customStyle="1" w:styleId="237">
    <w:name w:val="列出段落1"/>
    <w:basedOn w:val="1"/>
    <w:link w:val="236"/>
    <w:qFormat/>
    <w:uiPriority w:val="0"/>
    <w:pPr>
      <w:widowControl/>
      <w:ind w:left="720"/>
      <w:contextualSpacing/>
      <w:jc w:val="left"/>
    </w:pPr>
    <w:rPr>
      <w:rFonts w:ascii="Calibri" w:hAnsi="Calibri"/>
      <w:sz w:val="24"/>
      <w:szCs w:val="24"/>
      <w:lang w:eastAsia="en-US" w:bidi="en-US"/>
    </w:rPr>
  </w:style>
  <w:style w:type="paragraph" w:customStyle="1" w:styleId="238">
    <w:name w:val="Body Text(ch)"/>
    <w:basedOn w:val="1"/>
    <w:next w:val="18"/>
    <w:qFormat/>
    <w:uiPriority w:val="0"/>
    <w:pPr>
      <w:spacing w:after="120"/>
    </w:pPr>
    <w:rPr>
      <w:rFonts w:ascii="宋体" w:hAnsi="Arial"/>
      <w:bCs/>
      <w:iCs/>
      <w:szCs w:val="24"/>
    </w:rPr>
  </w:style>
  <w:style w:type="paragraph" w:customStyle="1" w:styleId="23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4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41">
    <w:name w:val="Char"/>
    <w:basedOn w:val="1"/>
    <w:qFormat/>
    <w:uiPriority w:val="0"/>
    <w:pPr>
      <w:tabs>
        <w:tab w:val="left" w:pos="360"/>
      </w:tabs>
      <w:ind w:firstLine="200"/>
    </w:pPr>
    <w:rPr>
      <w:sz w:val="28"/>
      <w:szCs w:val="30"/>
    </w:rPr>
  </w:style>
  <w:style w:type="paragraph" w:customStyle="1" w:styleId="242">
    <w:name w:val="Char1"/>
    <w:basedOn w:val="15"/>
    <w:qFormat/>
    <w:uiPriority w:val="0"/>
    <w:rPr>
      <w:rFonts w:ascii="Tahoma" w:hAnsi="Tahoma"/>
      <w:sz w:val="24"/>
      <w:szCs w:val="24"/>
    </w:rPr>
  </w:style>
  <w:style w:type="paragraph" w:customStyle="1" w:styleId="243">
    <w:name w:val="普通正文"/>
    <w:basedOn w:val="1"/>
    <w:qFormat/>
    <w:uiPriority w:val="0"/>
    <w:pPr>
      <w:spacing w:before="120" w:after="120" w:line="360" w:lineRule="auto"/>
      <w:ind w:firstLine="480"/>
      <w:jc w:val="left"/>
    </w:pPr>
    <w:rPr>
      <w:rFonts w:ascii="Arial" w:hAnsi="Arial"/>
      <w:sz w:val="24"/>
      <w:szCs w:val="24"/>
    </w:rPr>
  </w:style>
  <w:style w:type="paragraph" w:customStyle="1" w:styleId="244">
    <w:name w:val="table_lines"/>
    <w:basedOn w:val="1"/>
    <w:qFormat/>
    <w:uiPriority w:val="0"/>
    <w:pPr>
      <w:widowControl/>
      <w:jc w:val="left"/>
    </w:pPr>
    <w:rPr>
      <w:sz w:val="20"/>
      <w:szCs w:val="20"/>
      <w:lang w:val="de-DE" w:eastAsia="de-DE"/>
    </w:rPr>
  </w:style>
  <w:style w:type="paragraph" w:customStyle="1" w:styleId="245">
    <w:name w:val="附录1"/>
    <w:qFormat/>
    <w:uiPriority w:val="0"/>
    <w:pPr>
      <w:tabs>
        <w:tab w:val="left" w:pos="907"/>
      </w:tabs>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24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47">
    <w:name w:val="Char Char Char Char"/>
    <w:basedOn w:val="15"/>
    <w:qFormat/>
    <w:uiPriority w:val="0"/>
    <w:pPr>
      <w:spacing w:line="360" w:lineRule="auto"/>
    </w:pPr>
    <w:rPr>
      <w:rFonts w:ascii="Tahoma" w:hAnsi="Tahoma"/>
      <w:sz w:val="24"/>
      <w:szCs w:val="24"/>
    </w:rPr>
  </w:style>
  <w:style w:type="paragraph" w:customStyle="1" w:styleId="248">
    <w:name w:val="4"/>
    <w:basedOn w:val="1"/>
    <w:next w:val="37"/>
    <w:qFormat/>
    <w:uiPriority w:val="0"/>
    <w:pPr>
      <w:spacing w:line="360" w:lineRule="auto"/>
      <w:ind w:firstLine="420"/>
    </w:pPr>
    <w:rPr>
      <w:color w:val="FF0000"/>
      <w:sz w:val="24"/>
      <w:szCs w:val="24"/>
    </w:rPr>
  </w:style>
  <w:style w:type="paragraph" w:customStyle="1" w:styleId="24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50">
    <w:name w:val="Char Char Char Char Char Char Char Char Char Char"/>
    <w:basedOn w:val="1"/>
    <w:qFormat/>
    <w:uiPriority w:val="0"/>
    <w:pPr>
      <w:spacing w:line="360" w:lineRule="auto"/>
    </w:pPr>
    <w:rPr>
      <w:sz w:val="24"/>
      <w:szCs w:val="20"/>
    </w:rPr>
  </w:style>
  <w:style w:type="paragraph" w:customStyle="1" w:styleId="251">
    <w:name w:val="样式1"/>
    <w:basedOn w:val="1"/>
    <w:qFormat/>
    <w:uiPriority w:val="0"/>
    <w:pPr>
      <w:numPr>
        <w:ilvl w:val="0"/>
        <w:numId w:val="3"/>
      </w:numPr>
    </w:pPr>
    <w:rPr>
      <w:rFonts w:ascii="宋体" w:hAnsi="宋体"/>
    </w:rPr>
  </w:style>
  <w:style w:type="paragraph" w:customStyle="1" w:styleId="25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5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54">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55">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56">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57">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5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9">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6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6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62">
    <w:name w:val="Char Char Char Char1"/>
    <w:basedOn w:val="15"/>
    <w:qFormat/>
    <w:uiPriority w:val="0"/>
    <w:pPr>
      <w:spacing w:line="360" w:lineRule="auto"/>
    </w:pPr>
    <w:rPr>
      <w:rFonts w:ascii="Tahoma" w:hAnsi="Tahoma"/>
      <w:sz w:val="24"/>
      <w:szCs w:val="24"/>
    </w:rPr>
  </w:style>
  <w:style w:type="paragraph" w:customStyle="1" w:styleId="263">
    <w:name w:val="table_1stline"/>
    <w:basedOn w:val="1"/>
    <w:qFormat/>
    <w:uiPriority w:val="0"/>
    <w:pPr>
      <w:widowControl/>
      <w:spacing w:before="120"/>
      <w:jc w:val="left"/>
    </w:pPr>
    <w:rPr>
      <w:bCs/>
      <w:sz w:val="20"/>
      <w:szCs w:val="20"/>
      <w:lang w:val="de-DE" w:eastAsia="de-DE"/>
    </w:rPr>
  </w:style>
  <w:style w:type="paragraph" w:customStyle="1" w:styleId="26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65">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66">
    <w:name w:val="修订1"/>
    <w:semiHidden/>
    <w:qFormat/>
    <w:uiPriority w:val="99"/>
    <w:rPr>
      <w:rFonts w:ascii="Times New Roman" w:hAnsi="Times New Roman" w:eastAsia="宋体" w:cs="Times New Roman"/>
      <w:sz w:val="21"/>
      <w:szCs w:val="21"/>
      <w:lang w:val="en-US" w:eastAsia="zh-CN" w:bidi="ar-SA"/>
    </w:rPr>
  </w:style>
  <w:style w:type="paragraph" w:customStyle="1" w:styleId="267">
    <w:name w:val="普通文字"/>
    <w:basedOn w:val="1"/>
    <w:next w:val="1"/>
    <w:qFormat/>
    <w:uiPriority w:val="99"/>
    <w:rPr>
      <w:rFonts w:ascii="宋体"/>
      <w:sz w:val="24"/>
      <w:szCs w:val="20"/>
    </w:rPr>
  </w:style>
  <w:style w:type="paragraph" w:customStyle="1" w:styleId="268">
    <w:name w:val="目录 111"/>
    <w:basedOn w:val="1"/>
    <w:next w:val="1"/>
    <w:unhideWhenUsed/>
    <w:qFormat/>
    <w:uiPriority w:val="39"/>
    <w:pPr>
      <w:widowControl/>
      <w:spacing w:after="100" w:line="259" w:lineRule="auto"/>
      <w:jc w:val="left"/>
    </w:pPr>
    <w:rPr>
      <w:rFonts w:ascii="Calibri" w:hAnsi="Calibri"/>
      <w:sz w:val="22"/>
      <w:szCs w:val="22"/>
    </w:rPr>
  </w:style>
  <w:style w:type="paragraph" w:customStyle="1" w:styleId="269">
    <w:name w:val="纯文本1"/>
    <w:basedOn w:val="1"/>
    <w:qFormat/>
    <w:uiPriority w:val="0"/>
    <w:rPr>
      <w:rFonts w:ascii="宋体" w:hAnsi="Courier New" w:cs="Courier New"/>
    </w:rPr>
  </w:style>
  <w:style w:type="paragraph" w:customStyle="1" w:styleId="270">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271">
    <w:name w:val="标题二、"/>
    <w:basedOn w:val="1"/>
    <w:qFormat/>
    <w:uiPriority w:val="99"/>
    <w:pPr>
      <w:spacing w:line="360" w:lineRule="auto"/>
      <w:ind w:firstLine="200"/>
      <w:outlineLvl w:val="2"/>
    </w:pPr>
    <w:rPr>
      <w:rFonts w:ascii="宋体" w:hAnsi="宋体"/>
      <w:b/>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79</Pages>
  <Words>19223</Words>
  <Characters>20815</Characters>
  <Lines>360</Lines>
  <Paragraphs>101</Paragraphs>
  <TotalTime>21</TotalTime>
  <ScaleCrop>false</ScaleCrop>
  <LinksUpToDate>false</LinksUpToDate>
  <CharactersWithSpaces>21311</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2025-11-16T09:29:00Z</dcterms:created>
  <dc:creator>无锡市政府采购中心</dc:creator>
  <cp:lastModifiedBy>king</cp:lastModifiedBy>
  <cp:lastPrinted>2025-11-19T10:07:00Z</cp:lastPrinted>
  <dcterms:modified xsi:type="dcterms:W3CDTF">2025-12-03T13:04:42Z</dcterms:modified>
  <cp:revision>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eyJoZGlkIjoiMWFmNDRhNzgzMmZmMzU4M2YzZjk4ZWU1ZjViMDlkOTQiLCJ1c2VySWQiOiIxMjY4OTQ1NzM3In0=</vt:lpwstr>
  </property>
  <property fmtid="{D5CDD505-2E9C-101B-9397-08002B2CF9AE}" pid="3" name="KSOProductBuildVer">
    <vt:lpwstr>2052-12.1.0.23542</vt:lpwstr>
  </property>
  <property fmtid="{D5CDD505-2E9C-101B-9397-08002B2CF9AE}" pid="4" name="ICV">
    <vt:lpwstr>1AFF338AD0A64450AF4B8EA2AB0D3B59_12</vt:lpwstr>
  </property>
</Properties>
</file>